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B97E30">
      <w:pPr>
        <w:jc w:val="center"/>
        <w:rPr>
          <w:rFonts w:hint="eastAsia" w:ascii="宋体" w:hAnsi="宋体" w:eastAsia="宋体" w:cs="宋体"/>
          <w:b/>
          <w:bCs/>
          <w:sz w:val="36"/>
          <w:szCs w:val="36"/>
          <w:lang w:eastAsia="zh-CN"/>
        </w:rPr>
      </w:pPr>
    </w:p>
    <w:p w14:paraId="0F2F7211">
      <w:pPr>
        <w:jc w:val="center"/>
        <w:rPr>
          <w:rFonts w:hint="eastAsia" w:ascii="宋体" w:hAnsi="宋体" w:eastAsia="宋体" w:cs="宋体"/>
          <w:b/>
          <w:bCs/>
          <w:sz w:val="36"/>
          <w:szCs w:val="36"/>
          <w:lang w:eastAsia="zh-CN"/>
        </w:rPr>
      </w:pPr>
    </w:p>
    <w:p w14:paraId="092CC117">
      <w:pPr>
        <w:jc w:val="center"/>
        <w:rPr>
          <w:rFonts w:hint="eastAsia" w:ascii="宋体" w:hAnsi="宋体" w:eastAsia="宋体" w:cs="宋体"/>
          <w:b/>
          <w:bCs/>
          <w:sz w:val="36"/>
          <w:szCs w:val="36"/>
          <w:lang w:eastAsia="zh-CN"/>
        </w:rPr>
      </w:pPr>
    </w:p>
    <w:p w14:paraId="0944AF80">
      <w:pPr>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drawing>
          <wp:inline distT="0" distB="0" distL="114300" distR="114300">
            <wp:extent cx="2922270" cy="2188845"/>
            <wp:effectExtent l="0" t="0" r="3810" b="5715"/>
            <wp:docPr id="2" name="图片 2" descr="投标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投标111"/>
                    <pic:cNvPicPr>
                      <a:picLocks noChangeAspect="1"/>
                    </pic:cNvPicPr>
                  </pic:nvPicPr>
                  <pic:blipFill>
                    <a:blip r:embed="rId6"/>
                    <a:stretch>
                      <a:fillRect/>
                    </a:stretch>
                  </pic:blipFill>
                  <pic:spPr>
                    <a:xfrm>
                      <a:off x="0" y="0"/>
                      <a:ext cx="2922270" cy="2188845"/>
                    </a:xfrm>
                    <a:prstGeom prst="rect">
                      <a:avLst/>
                    </a:prstGeom>
                  </pic:spPr>
                </pic:pic>
              </a:graphicData>
            </a:graphic>
          </wp:inline>
        </w:drawing>
      </w:r>
    </w:p>
    <w:p w14:paraId="67AD4D8C">
      <w:pPr>
        <w:rPr>
          <w:rFonts w:hint="eastAsia" w:ascii="宋体" w:hAnsi="宋体" w:eastAsia="宋体" w:cs="宋体"/>
          <w:b/>
          <w:bCs/>
          <w:sz w:val="36"/>
          <w:szCs w:val="36"/>
        </w:rPr>
      </w:pPr>
    </w:p>
    <w:p w14:paraId="267F5C8A">
      <w:pPr>
        <w:rPr>
          <w:rFonts w:hint="eastAsia" w:ascii="宋体" w:hAnsi="宋体" w:eastAsia="宋体" w:cs="宋体"/>
          <w:b/>
          <w:bCs/>
          <w:sz w:val="36"/>
          <w:szCs w:val="36"/>
        </w:rPr>
      </w:pPr>
    </w:p>
    <w:p w14:paraId="0577650B">
      <w:pPr>
        <w:rPr>
          <w:rFonts w:hint="eastAsia" w:ascii="宋体" w:hAnsi="宋体" w:eastAsia="宋体" w:cs="宋体"/>
          <w:b/>
          <w:bCs/>
          <w:sz w:val="36"/>
          <w:szCs w:val="36"/>
        </w:rPr>
      </w:pPr>
    </w:p>
    <w:p w14:paraId="376F7091">
      <w:pPr>
        <w:rPr>
          <w:rFonts w:hint="eastAsia" w:ascii="宋体" w:hAnsi="宋体" w:eastAsia="宋体" w:cs="宋体"/>
          <w:b/>
          <w:bCs/>
          <w:sz w:val="36"/>
          <w:szCs w:val="36"/>
        </w:rPr>
      </w:pPr>
    </w:p>
    <w:p w14:paraId="131B4F16">
      <w:pPr>
        <w:widowControl w:val="0"/>
        <w:kinsoku/>
        <w:autoSpaceDE/>
        <w:autoSpaceDN/>
        <w:adjustRightInd/>
        <w:snapToGrid/>
        <w:spacing w:beforeLines="50" w:line="480" w:lineRule="auto"/>
        <w:jc w:val="center"/>
        <w:textAlignment w:val="auto"/>
        <w:rPr>
          <w:rFonts w:hint="eastAsia" w:ascii="宋体" w:hAnsi="宋体" w:eastAsia="宋体" w:cs="Times New Roman"/>
          <w:b/>
          <w:bCs/>
          <w:snapToGrid/>
          <w:kern w:val="2"/>
          <w:sz w:val="72"/>
          <w:szCs w:val="72"/>
        </w:rPr>
      </w:pPr>
      <w:r>
        <w:rPr>
          <w:rFonts w:hint="eastAsia" w:ascii="宋体" w:hAnsi="宋体" w:eastAsia="宋体" w:cs="Times New Roman"/>
          <w:b/>
          <w:bCs/>
          <w:snapToGrid/>
          <w:kern w:val="2"/>
          <w:sz w:val="72"/>
          <w:szCs w:val="72"/>
        </w:rPr>
        <w:t>审定与核查合同书</w:t>
      </w:r>
    </w:p>
    <w:p w14:paraId="415706EF">
      <w:pPr>
        <w:spacing w:beforeLines="50" w:line="480" w:lineRule="auto"/>
        <w:rPr>
          <w:rFonts w:hint="eastAsia" w:ascii="宋体" w:hAnsi="宋体"/>
          <w:b/>
          <w:bCs/>
          <w:sz w:val="28"/>
          <w:szCs w:val="28"/>
        </w:rPr>
      </w:pPr>
    </w:p>
    <w:p w14:paraId="40AC2373">
      <w:pPr>
        <w:spacing w:before="187" w:line="624" w:lineRule="exact"/>
        <w:ind w:firstLine="2314"/>
        <w:rPr>
          <w:rFonts w:hint="default" w:ascii="宋体" w:hAnsi="宋体" w:eastAsia="宋体" w:cs="宋体"/>
          <w:sz w:val="30"/>
          <w:szCs w:val="30"/>
          <w:lang w:val="en-US" w:eastAsia="zh-CN"/>
        </w:rPr>
      </w:pPr>
      <w:r>
        <w:rPr>
          <w:rFonts w:hint="eastAsia" w:ascii="宋体" w:hAnsi="宋体" w:eastAsia="宋体" w:cs="宋体"/>
          <w:spacing w:val="-2"/>
          <w:position w:val="24"/>
          <w:sz w:val="30"/>
          <w:szCs w:val="30"/>
        </w:rPr>
        <w:t>甲方：</w:t>
      </w:r>
      <w:r>
        <w:rPr>
          <w:rFonts w:hint="eastAsia" w:ascii="宋体" w:hAnsi="宋体" w:eastAsia="宋体" w:cs="宋体"/>
          <w:spacing w:val="-2"/>
          <w:position w:val="24"/>
          <w:sz w:val="30"/>
          <w:szCs w:val="30"/>
          <w:u w:val="single"/>
          <w:lang w:val="en-US" w:eastAsia="zh-CN"/>
        </w:rPr>
        <w:t xml:space="preserve">                          </w:t>
      </w:r>
    </w:p>
    <w:p w14:paraId="44EE5932">
      <w:pPr>
        <w:spacing w:line="204" w:lineRule="auto"/>
        <w:ind w:firstLine="2314"/>
        <w:rPr>
          <w:rFonts w:hint="default" w:ascii="宋体" w:hAnsi="宋体" w:eastAsia="宋体" w:cs="宋体"/>
          <w:spacing w:val="-3"/>
          <w:sz w:val="30"/>
          <w:szCs w:val="30"/>
          <w:u w:val="single"/>
          <w:lang w:val="en-US" w:eastAsia="zh-CN"/>
        </w:rPr>
      </w:pPr>
      <w:r>
        <w:rPr>
          <w:rFonts w:hint="eastAsia" w:ascii="宋体" w:hAnsi="宋体" w:eastAsia="宋体" w:cs="宋体"/>
          <w:spacing w:val="-3"/>
          <w:sz w:val="30"/>
          <w:szCs w:val="30"/>
        </w:rPr>
        <w:t>乙方：</w:t>
      </w:r>
      <w:r>
        <w:rPr>
          <w:rFonts w:hint="eastAsia" w:ascii="宋体" w:hAnsi="宋体" w:eastAsia="宋体" w:cs="宋体"/>
          <w:spacing w:val="-3"/>
          <w:sz w:val="30"/>
          <w:szCs w:val="30"/>
          <w:u w:val="single"/>
          <w:lang w:val="en-US" w:eastAsia="zh-CN"/>
        </w:rPr>
        <w:t xml:space="preserve">                          </w:t>
      </w:r>
    </w:p>
    <w:p w14:paraId="45997039">
      <w:pPr>
        <w:spacing w:line="204" w:lineRule="auto"/>
        <w:ind w:firstLine="2314"/>
        <w:rPr>
          <w:rFonts w:hint="eastAsia" w:ascii="宋体" w:hAnsi="宋体" w:eastAsia="宋体" w:cs="宋体"/>
          <w:spacing w:val="-3"/>
          <w:sz w:val="30"/>
          <w:szCs w:val="30"/>
          <w:u w:val="single"/>
          <w:lang w:eastAsia="zh-CN"/>
        </w:rPr>
      </w:pPr>
    </w:p>
    <w:p w14:paraId="7B078607">
      <w:pPr>
        <w:spacing w:line="204" w:lineRule="auto"/>
        <w:ind w:firstLine="2314"/>
        <w:rPr>
          <w:rFonts w:hint="eastAsia" w:ascii="宋体" w:hAnsi="宋体" w:eastAsia="宋体" w:cs="宋体"/>
          <w:b/>
          <w:bCs/>
          <w:sz w:val="36"/>
          <w:szCs w:val="36"/>
        </w:rPr>
      </w:pPr>
      <w:r>
        <w:rPr>
          <w:rFonts w:hint="eastAsia" w:ascii="宋体" w:hAnsi="宋体" w:eastAsia="宋体" w:cs="宋体"/>
          <w:spacing w:val="-3"/>
          <w:sz w:val="30"/>
          <w:szCs w:val="30"/>
        </w:rPr>
        <w:t>合同编号：</w:t>
      </w:r>
      <w:r>
        <w:rPr>
          <w:rFonts w:hint="eastAsia" w:ascii="宋体" w:hAnsi="宋体" w:eastAsia="宋体" w:cs="宋体"/>
          <w:spacing w:val="-3"/>
          <w:sz w:val="30"/>
          <w:szCs w:val="30"/>
          <w:u w:val="single"/>
          <w:lang w:val="en-US" w:eastAsia="zh-CN"/>
        </w:rPr>
        <w:t xml:space="preserve">                    </w:t>
      </w:r>
      <w:r>
        <w:rPr>
          <w:rFonts w:hint="eastAsia" w:ascii="宋体" w:hAnsi="宋体" w:eastAsia="宋体" w:cs="宋体"/>
          <w:spacing w:val="-3"/>
          <w:sz w:val="30"/>
          <w:szCs w:val="30"/>
          <w:u w:val="single"/>
        </w:rPr>
        <w:t xml:space="preserve">  </w:t>
      </w:r>
    </w:p>
    <w:p w14:paraId="768BE6B4">
      <w:pPr>
        <w:spacing w:line="204" w:lineRule="auto"/>
        <w:ind w:firstLine="2314"/>
        <w:rPr>
          <w:rFonts w:hint="eastAsia" w:ascii="宋体" w:hAnsi="宋体" w:eastAsia="宋体" w:cs="宋体"/>
          <w:spacing w:val="-3"/>
          <w:sz w:val="30"/>
          <w:szCs w:val="30"/>
        </w:rPr>
      </w:pPr>
    </w:p>
    <w:p w14:paraId="5570F910">
      <w:pPr>
        <w:spacing w:line="204" w:lineRule="auto"/>
        <w:ind w:firstLine="2314"/>
        <w:rPr>
          <w:rFonts w:hint="eastAsia" w:ascii="宋体" w:hAnsi="宋体" w:eastAsia="宋体" w:cs="宋体"/>
          <w:spacing w:val="-3"/>
          <w:sz w:val="30"/>
          <w:szCs w:val="30"/>
        </w:rPr>
      </w:pPr>
    </w:p>
    <w:p w14:paraId="0C15B488">
      <w:pPr>
        <w:spacing w:line="204" w:lineRule="auto"/>
        <w:ind w:firstLine="2314"/>
        <w:rPr>
          <w:rFonts w:hint="eastAsia" w:ascii="宋体" w:hAnsi="宋体" w:eastAsia="宋体" w:cs="宋体"/>
          <w:spacing w:val="-3"/>
          <w:sz w:val="30"/>
          <w:szCs w:val="30"/>
        </w:rPr>
      </w:pPr>
    </w:p>
    <w:p w14:paraId="71B850E7">
      <w:pPr>
        <w:spacing w:line="204" w:lineRule="auto"/>
        <w:ind w:firstLine="2314"/>
        <w:rPr>
          <w:rFonts w:hint="eastAsia" w:ascii="宋体" w:hAnsi="宋体" w:eastAsia="宋体" w:cs="宋体"/>
          <w:spacing w:val="-3"/>
          <w:sz w:val="30"/>
          <w:szCs w:val="30"/>
        </w:rPr>
      </w:pPr>
    </w:p>
    <w:p w14:paraId="3FCD4D95">
      <w:pPr>
        <w:spacing w:line="204" w:lineRule="auto"/>
        <w:ind w:firstLine="2314"/>
        <w:rPr>
          <w:rFonts w:hint="eastAsia" w:ascii="宋体" w:hAnsi="宋体" w:eastAsia="宋体" w:cs="宋体"/>
          <w:spacing w:val="-3"/>
          <w:sz w:val="30"/>
          <w:szCs w:val="30"/>
        </w:rPr>
      </w:pPr>
    </w:p>
    <w:p w14:paraId="30D3831C">
      <w:pPr>
        <w:spacing w:line="204" w:lineRule="auto"/>
        <w:ind w:firstLine="2314"/>
        <w:rPr>
          <w:rFonts w:hint="eastAsia" w:ascii="宋体" w:hAnsi="宋体" w:eastAsia="宋体" w:cs="宋体"/>
          <w:spacing w:val="-3"/>
          <w:sz w:val="30"/>
          <w:szCs w:val="30"/>
        </w:rPr>
      </w:pPr>
    </w:p>
    <w:p w14:paraId="0A4BCD85">
      <w:pPr>
        <w:spacing w:line="204" w:lineRule="auto"/>
        <w:rPr>
          <w:rFonts w:hint="eastAsia" w:ascii="宋体" w:hAnsi="宋体" w:eastAsia="宋体" w:cs="宋体"/>
          <w:spacing w:val="-3"/>
          <w:sz w:val="30"/>
          <w:szCs w:val="30"/>
        </w:rPr>
      </w:pPr>
    </w:p>
    <w:p w14:paraId="55C52431">
      <w:pPr>
        <w:spacing w:line="204" w:lineRule="auto"/>
        <w:jc w:val="center"/>
        <w:rPr>
          <w:rFonts w:hint="eastAsia" w:ascii="宋体" w:hAnsi="宋体" w:eastAsia="宋体" w:cs="宋体"/>
          <w:spacing w:val="-3"/>
          <w:sz w:val="30"/>
          <w:szCs w:val="30"/>
        </w:rPr>
      </w:pPr>
      <w:r>
        <w:rPr>
          <w:rFonts w:hint="eastAsia" w:ascii="宋体" w:hAnsi="宋体" w:eastAsia="宋体" w:cs="宋体"/>
          <w:spacing w:val="-3"/>
          <w:sz w:val="30"/>
          <w:szCs w:val="30"/>
        </w:rPr>
        <w:t>签订日期：</w:t>
      </w:r>
      <w:r>
        <w:rPr>
          <w:rFonts w:hint="eastAsia" w:ascii="宋体" w:hAnsi="宋体" w:eastAsia="宋体" w:cs="宋体"/>
          <w:spacing w:val="-3"/>
          <w:sz w:val="30"/>
          <w:szCs w:val="30"/>
          <w:lang w:val="en-US" w:eastAsia="zh-CN"/>
        </w:rPr>
        <w:t xml:space="preserve">     </w:t>
      </w:r>
      <w:r>
        <w:rPr>
          <w:rFonts w:hint="eastAsia" w:ascii="宋体" w:hAnsi="宋体" w:eastAsia="宋体" w:cs="宋体"/>
          <w:spacing w:val="-3"/>
          <w:sz w:val="30"/>
          <w:szCs w:val="30"/>
        </w:rPr>
        <w:t xml:space="preserve">年 </w:t>
      </w:r>
      <w:r>
        <w:rPr>
          <w:rFonts w:hint="eastAsia" w:ascii="宋体" w:hAnsi="宋体" w:eastAsia="宋体" w:cs="宋体"/>
          <w:spacing w:val="-3"/>
          <w:sz w:val="30"/>
          <w:szCs w:val="30"/>
          <w:lang w:val="en-US" w:eastAsia="zh-CN"/>
        </w:rPr>
        <w:t xml:space="preserve">   </w:t>
      </w:r>
      <w:r>
        <w:rPr>
          <w:rFonts w:hint="eastAsia" w:ascii="宋体" w:hAnsi="宋体" w:eastAsia="宋体" w:cs="宋体"/>
          <w:spacing w:val="-3"/>
          <w:sz w:val="30"/>
          <w:szCs w:val="30"/>
        </w:rPr>
        <w:t>月</w:t>
      </w:r>
    </w:p>
    <w:p w14:paraId="0D6FB94B">
      <w:pPr>
        <w:rPr>
          <w:rFonts w:hint="eastAsia" w:ascii="宋体" w:hAnsi="宋体" w:eastAsia="宋体" w:cs="宋体"/>
        </w:rPr>
      </w:pPr>
    </w:p>
    <w:p w14:paraId="1D553593">
      <w:pPr>
        <w:rPr>
          <w:rFonts w:hint="eastAsia" w:ascii="宋体" w:hAnsi="宋体" w:eastAsia="宋体" w:cs="宋体"/>
        </w:rPr>
      </w:pPr>
    </w:p>
    <w:p w14:paraId="4B15F778">
      <w:pPr>
        <w:rPr>
          <w:rFonts w:hint="eastAsia" w:ascii="宋体" w:hAnsi="宋体" w:eastAsia="宋体" w:cs="宋体"/>
        </w:rPr>
      </w:pPr>
    </w:p>
    <w:p w14:paraId="236F1E2B">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宋体" w:hAnsi="宋体" w:eastAsia="宋体" w:cs="宋体"/>
          <w:sz w:val="24"/>
          <w:szCs w:val="24"/>
        </w:rPr>
        <w:sectPr>
          <w:headerReference r:id="rId3" w:type="default"/>
          <w:pgSz w:w="11907" w:h="16839"/>
          <w:pgMar w:top="1276" w:right="974" w:bottom="720" w:left="1053" w:header="565" w:footer="404" w:gutter="0"/>
          <w:cols w:space="720" w:num="1"/>
        </w:sectPr>
      </w:pPr>
    </w:p>
    <w:p w14:paraId="208305FD">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甲乙双方依据《中华人民共和国民法典》、国家和国际标准规范等内容的要求，商定由乙方为甲方提供服务，双方都已理解并认可了本合同的所有内容，同意承担各自应承担的权利和义务，忠实地履行本合同。上述甲、乙双方经友好协商一致，就甲方委托乙方进行</w:t>
      </w:r>
      <w:r>
        <w:rPr>
          <w:rFonts w:hint="eastAsia" w:ascii="宋体" w:hAnsi="宋体" w:eastAsia="宋体" w:cs="宋体"/>
          <w:sz w:val="24"/>
          <w:szCs w:val="24"/>
          <w:lang w:eastAsia="zh-CN"/>
        </w:rPr>
        <w:t>温室气体排放审定/核查</w:t>
      </w:r>
      <w:r>
        <w:rPr>
          <w:rFonts w:hint="eastAsia" w:ascii="宋体" w:hAnsi="宋体" w:eastAsia="宋体" w:cs="宋体"/>
          <w:sz w:val="24"/>
          <w:szCs w:val="24"/>
        </w:rPr>
        <w:t>项目核查服务事宜达成以下协议</w:t>
      </w:r>
    </w:p>
    <w:p w14:paraId="34A05339">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textAlignment w:val="baseline"/>
        <w:rPr>
          <w:rFonts w:hint="eastAsia" w:ascii="宋体" w:hAnsi="宋体" w:eastAsia="宋体" w:cs="宋体"/>
          <w:b/>
          <w:bCs/>
          <w:sz w:val="28"/>
          <w:szCs w:val="28"/>
        </w:rPr>
      </w:pPr>
      <w:r>
        <w:rPr>
          <w:rFonts w:hint="eastAsia" w:ascii="宋体" w:hAnsi="宋体" w:eastAsia="宋体" w:cs="宋体"/>
          <w:b/>
          <w:bCs/>
          <w:sz w:val="28"/>
          <w:szCs w:val="28"/>
          <w:lang w:val="en-US" w:eastAsia="zh-CN"/>
        </w:rPr>
        <w:t xml:space="preserve">1 </w:t>
      </w:r>
      <w:r>
        <w:rPr>
          <w:rFonts w:hint="eastAsia" w:ascii="宋体" w:hAnsi="宋体" w:eastAsia="宋体" w:cs="宋体"/>
          <w:b/>
          <w:bCs/>
          <w:sz w:val="28"/>
          <w:szCs w:val="28"/>
        </w:rPr>
        <w:t>内容和范围</w:t>
      </w:r>
    </w:p>
    <w:p w14:paraId="695D780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为了实现甲乙双方最大程度的资源整合、共同成长，甲、乙双方充分发挥各自优势，共同合作发展。通过双方的紧密合作，打造双赢、可持续发展服务、规划等领域战略合作伙伴关系。 </w:t>
      </w:r>
    </w:p>
    <w:p w14:paraId="487B985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甲方委托乙方提供</w:t>
      </w:r>
      <w:r>
        <w:rPr>
          <w:rFonts w:hint="eastAsia" w:ascii="宋体" w:hAnsi="宋体" w:eastAsia="宋体" w:cs="宋体"/>
          <w:sz w:val="24"/>
          <w:szCs w:val="24"/>
          <w:lang w:eastAsia="zh-CN"/>
        </w:rPr>
        <w:t>温室气体排放审定/核查</w:t>
      </w:r>
      <w:r>
        <w:rPr>
          <w:rFonts w:hint="eastAsia" w:ascii="宋体" w:hAnsi="宋体" w:eastAsia="宋体" w:cs="宋体"/>
          <w:sz w:val="24"/>
          <w:szCs w:val="24"/>
        </w:rPr>
        <w:t xml:space="preserve">项目核查服务： </w:t>
      </w:r>
    </w:p>
    <w:p w14:paraId="100B297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甲方要求乙方按照：</w:t>
      </w:r>
    </w:p>
    <w:p w14:paraId="038E876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 ISO</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14064-1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 GB/T 32150</w:t>
      </w:r>
    </w:p>
    <w:p w14:paraId="026BEEF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 ISO</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14064-2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GB/T 24067</w:t>
      </w:r>
    </w:p>
    <w:p w14:paraId="183BAF2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 ISO</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14064-3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□《碳排放权交易管理暂行办法》</w:t>
      </w:r>
    </w:p>
    <w:p w14:paraId="24358FF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 ISO 14067</w:t>
      </w:r>
    </w:p>
    <w:p w14:paraId="2AEDD75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 其它：</w:t>
      </w:r>
    </w:p>
    <w:p w14:paraId="32B38E8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乙方将委派技术人员为甲方提供温室气体排放审定/核查项目核查服务。</w:t>
      </w:r>
      <w:r>
        <w:rPr>
          <w:rFonts w:hint="eastAsia" w:ascii="宋体" w:hAnsi="宋体" w:eastAsia="宋体" w:cs="宋体"/>
          <w:sz w:val="24"/>
          <w:szCs w:val="24"/>
        </w:rPr>
        <w:t xml:space="preserve"> </w:t>
      </w:r>
    </w:p>
    <w:p w14:paraId="5E26EF7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1.3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类型：</w:t>
      </w:r>
    </w:p>
    <w:p w14:paraId="5CDA262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 xml:space="preserve">组织GHG声明核查    </w:t>
      </w:r>
    </w:p>
    <w:p w14:paraId="2C6EA1F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 xml:space="preserve">产品碳足迹核查      </w:t>
      </w:r>
    </w:p>
    <w:p w14:paraId="43DC431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 xml:space="preserve">环境声明验证                   </w:t>
      </w:r>
    </w:p>
    <w:p w14:paraId="2963155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其他：</w:t>
      </w:r>
    </w:p>
    <w:p w14:paraId="4B24065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1.4</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目的：就温室气体声明的准确性以及声明是否符合标准得出结论。</w:t>
      </w:r>
    </w:p>
    <w:p w14:paraId="39EA04C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1.5</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服务范围：</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96"/>
      </w:tblGrid>
      <w:tr w14:paraId="4F388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6" w:type="dxa"/>
          </w:tcPr>
          <w:p w14:paraId="13E7867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eastAsia="zh-CN"/>
              </w:rPr>
            </w:pPr>
            <w:r>
              <w:rPr>
                <w:rFonts w:hint="eastAsia" w:ascii="宋体" w:hAnsi="宋体" w:eastAsia="宋体" w:cs="宋体"/>
                <w:sz w:val="24"/>
                <w:szCs w:val="24"/>
                <w:lang w:eastAsia="zh-CN"/>
              </w:rPr>
              <w:t>□ 组织</w:t>
            </w:r>
          </w:p>
        </w:tc>
      </w:tr>
      <w:tr w14:paraId="5C371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6" w:type="dxa"/>
          </w:tcPr>
          <w:p w14:paraId="60F326F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rPr>
            </w:pPr>
            <w:r>
              <w:rPr>
                <w:rFonts w:hint="eastAsia" w:ascii="宋体" w:hAnsi="宋体" w:eastAsia="宋体" w:cs="宋体"/>
                <w:sz w:val="24"/>
                <w:szCs w:val="24"/>
                <w:vertAlign w:val="baseline"/>
              </w:rPr>
              <w:t>组织名称：</w:t>
            </w:r>
          </w:p>
          <w:p w14:paraId="3CB113D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排放边界(地址):</w:t>
            </w:r>
          </w:p>
          <w:p w14:paraId="18BABF8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rPr>
            </w:pPr>
            <w:r>
              <w:rPr>
                <w:rFonts w:hint="eastAsia" w:ascii="宋体" w:hAnsi="宋体" w:eastAsia="宋体" w:cs="宋体"/>
                <w:sz w:val="24"/>
                <w:szCs w:val="24"/>
                <w:vertAlign w:val="baseline"/>
              </w:rPr>
              <w:t>时间边界：</w:t>
            </w:r>
          </w:p>
          <w:p w14:paraId="7538B52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核查区域和场所：</w:t>
            </w:r>
          </w:p>
          <w:p w14:paraId="40471B1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rPr>
            </w:pPr>
            <w:r>
              <w:rPr>
                <w:rFonts w:hint="eastAsia" w:ascii="宋体" w:hAnsi="宋体" w:eastAsia="宋体" w:cs="宋体"/>
                <w:sz w:val="24"/>
                <w:szCs w:val="24"/>
                <w:vertAlign w:val="baseline"/>
                <w:lang w:eastAsia="zh-CN"/>
              </w:rPr>
              <w:t>温室气体排放审定/核查</w:t>
            </w:r>
            <w:r>
              <w:rPr>
                <w:rFonts w:hint="eastAsia" w:ascii="宋体" w:hAnsi="宋体" w:eastAsia="宋体" w:cs="宋体"/>
                <w:sz w:val="24"/>
                <w:szCs w:val="24"/>
                <w:vertAlign w:val="baseline"/>
              </w:rPr>
              <w:t>活动所涉及的员工总人数：</w:t>
            </w:r>
          </w:p>
          <w:p w14:paraId="4CDD184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rPr>
              <w:t>报告边界：类别1:直接温室气体排放</w:t>
            </w:r>
            <w:r>
              <w:rPr>
                <w:rFonts w:ascii="宋体" w:hAnsi="宋体" w:eastAsia="宋体" w:cs="宋体"/>
                <w:sz w:val="24"/>
                <w:szCs w:val="24"/>
              </w:rPr>
              <w:t>；</w:t>
            </w:r>
            <w:r>
              <w:rPr>
                <w:rFonts w:hint="eastAsia" w:ascii="宋体" w:hAnsi="宋体" w:eastAsia="宋体" w:cs="宋体"/>
                <w:sz w:val="24"/>
                <w:szCs w:val="24"/>
                <w:vertAlign w:val="baseline"/>
              </w:rPr>
              <w:t>类别2:输入能源的间接排放</w:t>
            </w:r>
            <w:r>
              <w:rPr>
                <w:rFonts w:ascii="宋体" w:hAnsi="宋体" w:eastAsia="宋体" w:cs="宋体"/>
                <w:sz w:val="24"/>
                <w:szCs w:val="24"/>
              </w:rPr>
              <w:t>；</w:t>
            </w:r>
            <w:r>
              <w:rPr>
                <w:rFonts w:hint="eastAsia" w:ascii="宋体" w:hAnsi="宋体" w:eastAsia="宋体" w:cs="宋体"/>
                <w:sz w:val="24"/>
                <w:szCs w:val="24"/>
                <w:vertAlign w:val="baseline"/>
              </w:rPr>
              <w:t>类别3:交通运输的间接排放</w:t>
            </w:r>
            <w:r>
              <w:rPr>
                <w:rFonts w:ascii="宋体" w:hAnsi="宋体" w:eastAsia="宋体" w:cs="宋体"/>
                <w:sz w:val="24"/>
                <w:szCs w:val="24"/>
              </w:rPr>
              <w:t>；</w:t>
            </w:r>
            <w:r>
              <w:rPr>
                <w:rFonts w:hint="eastAsia" w:ascii="宋体" w:hAnsi="宋体" w:eastAsia="宋体" w:cs="宋体"/>
                <w:sz w:val="24"/>
                <w:szCs w:val="24"/>
                <w:vertAlign w:val="baseline"/>
              </w:rPr>
              <w:t>类别4:组织使用的产品和服务的间接排放</w:t>
            </w:r>
            <w:r>
              <w:rPr>
                <w:rFonts w:ascii="宋体" w:hAnsi="宋体" w:eastAsia="宋体" w:cs="宋体"/>
                <w:sz w:val="24"/>
                <w:szCs w:val="24"/>
              </w:rPr>
              <w:t>；</w:t>
            </w:r>
            <w:r>
              <w:rPr>
                <w:rFonts w:hint="eastAsia" w:ascii="宋体" w:hAnsi="宋体" w:eastAsia="宋体" w:cs="宋体"/>
                <w:sz w:val="24"/>
                <w:szCs w:val="24"/>
                <w:vertAlign w:val="baseline"/>
              </w:rPr>
              <w:t>类别5:组织的产品使用过程相关的排放</w:t>
            </w:r>
            <w:r>
              <w:rPr>
                <w:rFonts w:ascii="宋体" w:hAnsi="宋体" w:eastAsia="宋体" w:cs="宋体"/>
                <w:sz w:val="24"/>
                <w:szCs w:val="24"/>
              </w:rPr>
              <w:t>；</w:t>
            </w:r>
            <w:r>
              <w:rPr>
                <w:rFonts w:hint="eastAsia" w:ascii="宋体" w:hAnsi="宋体" w:eastAsia="宋体" w:cs="宋体"/>
                <w:sz w:val="24"/>
                <w:szCs w:val="24"/>
                <w:vertAlign w:val="baseline"/>
              </w:rPr>
              <w:t>类别6:其他间接排放</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 xml:space="preserve"> </w:t>
            </w:r>
          </w:p>
          <w:p w14:paraId="71A1CA5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rPr>
            </w:pPr>
            <w:r>
              <w:rPr>
                <w:rFonts w:hint="eastAsia" w:ascii="宋体" w:hAnsi="宋体" w:eastAsia="宋体" w:cs="宋体"/>
                <w:sz w:val="24"/>
                <w:szCs w:val="24"/>
                <w:vertAlign w:val="baseline"/>
                <w:lang w:eastAsia="zh-CN"/>
              </w:rPr>
              <w:t>温室气体类型：二氧化碳(CO₂)、 甲烷(CH₄) 、氧化亚氮(N₂O) 、氢氟碳化物 (HFCs)、 全氟化合物(PFCs) 、六氟化硫(SF₆) 、三氟化氮(NF₃)</w:t>
            </w:r>
          </w:p>
        </w:tc>
      </w:tr>
      <w:tr w14:paraId="7D91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6" w:type="dxa"/>
          </w:tcPr>
          <w:p w14:paraId="72591C5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产品</w:t>
            </w:r>
          </w:p>
        </w:tc>
      </w:tr>
      <w:tr w14:paraId="35867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6" w:type="dxa"/>
          </w:tcPr>
          <w:p w14:paraId="695E76A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rPr>
            </w:pPr>
            <w:r>
              <w:rPr>
                <w:rFonts w:hint="eastAsia" w:ascii="宋体" w:hAnsi="宋体" w:eastAsia="宋体" w:cs="宋体"/>
                <w:sz w:val="24"/>
                <w:szCs w:val="24"/>
                <w:vertAlign w:val="baseline"/>
              </w:rPr>
              <w:t>产品名称和型号规格：</w:t>
            </w:r>
          </w:p>
          <w:p w14:paraId="1C02101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rPr>
            </w:pPr>
            <w:r>
              <w:rPr>
                <w:rFonts w:hint="eastAsia" w:ascii="宋体" w:hAnsi="宋体" w:eastAsia="宋体" w:cs="宋体"/>
                <w:sz w:val="24"/>
                <w:szCs w:val="24"/>
                <w:vertAlign w:val="baseline"/>
              </w:rPr>
              <w:t>制造商：</w:t>
            </w:r>
          </w:p>
          <w:p w14:paraId="4A35685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rPr>
            </w:pPr>
            <w:r>
              <w:rPr>
                <w:rFonts w:hint="eastAsia" w:ascii="宋体" w:hAnsi="宋体" w:eastAsia="宋体" w:cs="宋体"/>
                <w:sz w:val="24"/>
                <w:szCs w:val="24"/>
                <w:vertAlign w:val="baseline"/>
              </w:rPr>
              <w:t>生产厂：</w:t>
            </w:r>
          </w:p>
          <w:p w14:paraId="1EAC55E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rPr>
            </w:pPr>
            <w:r>
              <w:rPr>
                <w:rFonts w:hint="eastAsia" w:ascii="宋体" w:hAnsi="宋体" w:eastAsia="宋体" w:cs="宋体"/>
                <w:sz w:val="24"/>
                <w:szCs w:val="24"/>
                <w:vertAlign w:val="baseline"/>
              </w:rPr>
              <w:t>排放边界：□摇篮到大门□摇篮到坟墓</w:t>
            </w:r>
          </w:p>
          <w:p w14:paraId="28AE5CA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rPr>
            </w:pPr>
            <w:r>
              <w:rPr>
                <w:rFonts w:hint="eastAsia" w:ascii="宋体" w:hAnsi="宋体" w:eastAsia="宋体" w:cs="宋体"/>
                <w:sz w:val="24"/>
                <w:szCs w:val="24"/>
                <w:vertAlign w:val="baseline"/>
              </w:rPr>
              <w:t>功能单位/声明单位：</w:t>
            </w:r>
          </w:p>
          <w:p w14:paraId="102CC89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rPr>
            </w:pPr>
            <w:r>
              <w:rPr>
                <w:rFonts w:hint="eastAsia" w:ascii="宋体" w:hAnsi="宋体" w:eastAsia="宋体" w:cs="宋体"/>
                <w:sz w:val="24"/>
                <w:szCs w:val="24"/>
                <w:vertAlign w:val="baseline"/>
              </w:rPr>
              <w:t>时间边界：</w:t>
            </w:r>
          </w:p>
          <w:p w14:paraId="2C503D8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rPr>
            </w:pPr>
            <w:r>
              <w:rPr>
                <w:rFonts w:hint="eastAsia" w:ascii="宋体" w:hAnsi="宋体" w:eastAsia="宋体" w:cs="宋体"/>
                <w:sz w:val="24"/>
                <w:szCs w:val="24"/>
                <w:vertAlign w:val="baseline"/>
              </w:rPr>
              <w:t>核查区域和场所：</w:t>
            </w:r>
          </w:p>
          <w:p w14:paraId="6DE22AA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rPr>
            </w:pPr>
            <w:r>
              <w:rPr>
                <w:rFonts w:hint="eastAsia" w:ascii="宋体" w:hAnsi="宋体" w:eastAsia="宋体" w:cs="宋体"/>
                <w:sz w:val="24"/>
                <w:szCs w:val="24"/>
                <w:vertAlign w:val="baseline"/>
              </w:rPr>
              <w:t>碳排放活动所涉及的员工总人数：   人</w:t>
            </w:r>
          </w:p>
        </w:tc>
      </w:tr>
    </w:tbl>
    <w:p w14:paraId="207126F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(说明：上述范围根据核查对象填写。上述范围在后续核查过程中可能会发生变更，最终核查结果以核查和复核确认为准，当范围发生变化时，按实际确认的范围为准。产品碳足迹核查，如申请多产品</w:t>
      </w:r>
      <w:r>
        <w:rPr>
          <w:rFonts w:hint="eastAsia" w:ascii="宋体" w:hAnsi="宋体" w:eastAsia="宋体" w:cs="宋体"/>
          <w:sz w:val="24"/>
          <w:szCs w:val="24"/>
          <w:lang w:eastAsia="zh-CN"/>
        </w:rPr>
        <w:t>，</w:t>
      </w:r>
      <w:r>
        <w:rPr>
          <w:rFonts w:hint="eastAsia" w:ascii="宋体" w:hAnsi="宋体" w:eastAsia="宋体" w:cs="宋体"/>
          <w:sz w:val="24"/>
          <w:szCs w:val="24"/>
        </w:rPr>
        <w:t>请在1.9“其他特殊要求”项中增加描述。)</w:t>
      </w:r>
    </w:p>
    <w:p w14:paraId="5832A4A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1.6</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实质性阈值：</w:t>
      </w:r>
    </w:p>
    <w:p w14:paraId="37E44C2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 xml:space="preserve">1.7 保证等级： </w:t>
      </w:r>
      <w:r>
        <w:rPr>
          <w:rFonts w:hint="eastAsia" w:ascii="宋体" w:hAnsi="宋体" w:eastAsia="宋体" w:cs="宋体"/>
          <w:sz w:val="24"/>
          <w:szCs w:val="24"/>
        </w:rPr>
        <w:t xml:space="preserve">□完全保证          </w:t>
      </w:r>
      <w:r>
        <w:rPr>
          <w:rFonts w:hint="eastAsia" w:ascii="宋体" w:hAnsi="宋体" w:eastAsia="宋体" w:cs="宋体"/>
          <w:sz w:val="24"/>
          <w:szCs w:val="24"/>
          <w:lang w:eastAsia="zh-CN"/>
        </w:rPr>
        <w:t>□</w:t>
      </w:r>
      <w:r>
        <w:rPr>
          <w:rFonts w:hint="eastAsia" w:ascii="宋体" w:hAnsi="宋体" w:eastAsia="宋体" w:cs="宋体"/>
          <w:sz w:val="24"/>
          <w:szCs w:val="24"/>
        </w:rPr>
        <w:t>合理保证           □有限保证</w:t>
      </w:r>
    </w:p>
    <w:p w14:paraId="41D23AB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1.8</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温室气体排放审定/核查</w:t>
      </w:r>
      <w:r>
        <w:rPr>
          <w:rFonts w:hint="eastAsia" w:ascii="宋体" w:hAnsi="宋体" w:eastAsia="宋体" w:cs="宋体"/>
          <w:sz w:val="24"/>
          <w:szCs w:val="24"/>
        </w:rPr>
        <w:t>项目核查服务方式：乙方应进行公平、公正、有效的核查活动并对核查结果承担相关责任；甲方提供必要的项目资料和支持条件；甲方提供的有关项目资料如有不实，后果由甲方承担责任。</w:t>
      </w:r>
    </w:p>
    <w:p w14:paraId="4761D55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1.9其他特殊要求：</w:t>
      </w:r>
    </w:p>
    <w:p w14:paraId="45797917">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textAlignment w:val="baseline"/>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2 费用以及支付方式</w:t>
      </w:r>
    </w:p>
    <w:p w14:paraId="6495321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 技术服务费用</w:t>
      </w:r>
    </w:p>
    <w:p w14:paraId="65512AE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甲乙双方确定如下技术服务费用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7513"/>
        <w:gridCol w:w="1524"/>
      </w:tblGrid>
      <w:tr w14:paraId="155B2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07B69B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序号</w:t>
            </w:r>
          </w:p>
        </w:tc>
        <w:tc>
          <w:tcPr>
            <w:tcW w:w="7513" w:type="dxa"/>
            <w:vAlign w:val="center"/>
          </w:tcPr>
          <w:p w14:paraId="37394EB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项目名称</w:t>
            </w:r>
          </w:p>
        </w:tc>
        <w:tc>
          <w:tcPr>
            <w:tcW w:w="1524" w:type="dxa"/>
            <w:vAlign w:val="center"/>
          </w:tcPr>
          <w:p w14:paraId="725F0F9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项目费用</w:t>
            </w:r>
          </w:p>
          <w:p w14:paraId="650849A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（元）</w:t>
            </w:r>
          </w:p>
        </w:tc>
      </w:tr>
      <w:tr w14:paraId="5494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694E7B0">
            <w:pPr>
              <w:keepNext w:val="0"/>
              <w:keepLines w:val="0"/>
              <w:pageBreakBefore w:val="0"/>
              <w:widowControl/>
              <w:kinsoku w:val="0"/>
              <w:wordWrap/>
              <w:overflowPunct/>
              <w:topLinePunct w:val="0"/>
              <w:autoSpaceDE w:val="0"/>
              <w:autoSpaceDN w:val="0"/>
              <w:bidi w:val="0"/>
              <w:adjustRightInd w:val="0"/>
              <w:snapToGrid w:val="0"/>
              <w:spacing w:before="0" w:beforeLines="25" w:after="0" w:afterLines="25" w:line="240" w:lineRule="auto"/>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7513" w:type="dxa"/>
            <w:vAlign w:val="center"/>
          </w:tcPr>
          <w:p w14:paraId="48194DD7">
            <w:pPr>
              <w:keepNext w:val="0"/>
              <w:keepLines w:val="0"/>
              <w:pageBreakBefore w:val="0"/>
              <w:widowControl/>
              <w:kinsoku w:val="0"/>
              <w:wordWrap/>
              <w:overflowPunct/>
              <w:topLinePunct w:val="0"/>
              <w:autoSpaceDE w:val="0"/>
              <w:autoSpaceDN w:val="0"/>
              <w:bidi w:val="0"/>
              <w:adjustRightInd w:val="0"/>
              <w:snapToGrid w:val="0"/>
              <w:spacing w:before="0" w:beforeLines="25" w:after="0" w:afterLines="25" w:line="240" w:lineRule="auto"/>
              <w:ind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碳排放核查服务</w:t>
            </w:r>
          </w:p>
        </w:tc>
        <w:tc>
          <w:tcPr>
            <w:tcW w:w="1524" w:type="dxa"/>
            <w:vAlign w:val="center"/>
          </w:tcPr>
          <w:p w14:paraId="5D7E7448">
            <w:pPr>
              <w:keepNext w:val="0"/>
              <w:keepLines w:val="0"/>
              <w:pageBreakBefore w:val="0"/>
              <w:widowControl/>
              <w:kinsoku w:val="0"/>
              <w:wordWrap/>
              <w:overflowPunct/>
              <w:topLinePunct w:val="0"/>
              <w:autoSpaceDE w:val="0"/>
              <w:autoSpaceDN w:val="0"/>
              <w:bidi w:val="0"/>
              <w:adjustRightInd w:val="0"/>
              <w:snapToGrid w:val="0"/>
              <w:spacing w:before="0" w:beforeLines="25" w:after="0" w:afterLines="25" w:line="240" w:lineRule="auto"/>
              <w:ind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10000</w:t>
            </w:r>
          </w:p>
        </w:tc>
      </w:tr>
      <w:tr w14:paraId="15C32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46A5A9A">
            <w:pPr>
              <w:keepNext w:val="0"/>
              <w:keepLines w:val="0"/>
              <w:pageBreakBefore w:val="0"/>
              <w:widowControl/>
              <w:kinsoku w:val="0"/>
              <w:wordWrap/>
              <w:overflowPunct/>
              <w:topLinePunct w:val="0"/>
              <w:autoSpaceDE w:val="0"/>
              <w:autoSpaceDN w:val="0"/>
              <w:bidi w:val="0"/>
              <w:adjustRightInd w:val="0"/>
              <w:snapToGrid w:val="0"/>
              <w:spacing w:before="0" w:beforeLines="25" w:after="0" w:afterLines="25" w:line="240" w:lineRule="auto"/>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7513" w:type="dxa"/>
            <w:vAlign w:val="center"/>
          </w:tcPr>
          <w:p w14:paraId="651487ED">
            <w:pPr>
              <w:keepNext w:val="0"/>
              <w:keepLines w:val="0"/>
              <w:pageBreakBefore w:val="0"/>
              <w:widowControl/>
              <w:kinsoku w:val="0"/>
              <w:wordWrap/>
              <w:overflowPunct/>
              <w:topLinePunct w:val="0"/>
              <w:autoSpaceDE w:val="0"/>
              <w:autoSpaceDN w:val="0"/>
              <w:bidi w:val="0"/>
              <w:adjustRightInd w:val="0"/>
              <w:snapToGrid w:val="0"/>
              <w:spacing w:before="0" w:beforeLines="25" w:after="0" w:afterLines="25" w:line="240" w:lineRule="auto"/>
              <w:ind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差旅</w:t>
            </w:r>
          </w:p>
        </w:tc>
        <w:tc>
          <w:tcPr>
            <w:tcW w:w="1524" w:type="dxa"/>
            <w:vAlign w:val="center"/>
          </w:tcPr>
          <w:p w14:paraId="1C20B17D">
            <w:pPr>
              <w:keepNext w:val="0"/>
              <w:keepLines w:val="0"/>
              <w:pageBreakBefore w:val="0"/>
              <w:widowControl/>
              <w:kinsoku w:val="0"/>
              <w:wordWrap/>
              <w:overflowPunct/>
              <w:topLinePunct w:val="0"/>
              <w:autoSpaceDE w:val="0"/>
              <w:autoSpaceDN w:val="0"/>
              <w:bidi w:val="0"/>
              <w:adjustRightInd w:val="0"/>
              <w:snapToGrid w:val="0"/>
              <w:spacing w:before="0" w:beforeLines="25" w:after="0" w:afterLines="25" w:line="240" w:lineRule="auto"/>
              <w:ind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实报实销</w:t>
            </w:r>
          </w:p>
        </w:tc>
      </w:tr>
      <w:tr w14:paraId="50741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3"/>
            <w:vAlign w:val="center"/>
          </w:tcPr>
          <w:p w14:paraId="28732E38">
            <w:pPr>
              <w:keepNext w:val="0"/>
              <w:keepLines w:val="0"/>
              <w:pageBreakBefore w:val="0"/>
              <w:widowControl/>
              <w:kinsoku w:val="0"/>
              <w:wordWrap/>
              <w:overflowPunct/>
              <w:topLinePunct w:val="0"/>
              <w:autoSpaceDE w:val="0"/>
              <w:autoSpaceDN w:val="0"/>
              <w:bidi w:val="0"/>
              <w:adjustRightInd w:val="0"/>
              <w:snapToGrid w:val="0"/>
              <w:spacing w:before="0" w:beforeLines="25" w:after="0" w:afterLines="25" w:line="24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费用合计：¥</w:t>
            </w:r>
            <w:r>
              <w:rPr>
                <w:rFonts w:hint="eastAsia" w:ascii="宋体" w:hAnsi="宋体" w:eastAsia="宋体" w:cs="宋体"/>
                <w:sz w:val="24"/>
                <w:szCs w:val="24"/>
                <w:lang w:val="en-US" w:eastAsia="zh-CN"/>
              </w:rPr>
              <w:t>10000</w:t>
            </w:r>
            <w:r>
              <w:rPr>
                <w:rFonts w:hint="eastAsia" w:ascii="宋体" w:hAnsi="宋体" w:eastAsia="宋体" w:cs="宋体"/>
                <w:sz w:val="24"/>
                <w:szCs w:val="24"/>
              </w:rPr>
              <w:t>元 ；（人民币大写：壹万元整）</w:t>
            </w:r>
          </w:p>
        </w:tc>
      </w:tr>
      <w:tr w14:paraId="51CB9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3"/>
            <w:vAlign w:val="center"/>
          </w:tcPr>
          <w:p w14:paraId="707E7FFF">
            <w:pPr>
              <w:keepNext w:val="0"/>
              <w:keepLines w:val="0"/>
              <w:pageBreakBefore w:val="0"/>
              <w:widowControl/>
              <w:kinsoku w:val="0"/>
              <w:wordWrap/>
              <w:overflowPunct/>
              <w:topLinePunct w:val="0"/>
              <w:autoSpaceDE w:val="0"/>
              <w:autoSpaceDN w:val="0"/>
              <w:bidi w:val="0"/>
              <w:adjustRightInd w:val="0"/>
              <w:snapToGrid w:val="0"/>
              <w:spacing w:before="0" w:beforeLines="25" w:after="0" w:afterLines="25" w:line="24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技术服务组成员差旅费：交通与食宿由甲方承担</w:t>
            </w:r>
          </w:p>
        </w:tc>
      </w:tr>
    </w:tbl>
    <w:p w14:paraId="1B6C8CA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 项目成果交付时间</w:t>
      </w:r>
    </w:p>
    <w:p w14:paraId="0E3D1F3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完成现场核查，获取甲方提供的所有报告所需要的信息和数据后，</w:t>
      </w:r>
      <w:r>
        <w:rPr>
          <w:rFonts w:hint="eastAsia" w:ascii="宋体" w:hAnsi="宋体" w:eastAsia="宋体" w:cs="宋体"/>
          <w:sz w:val="24"/>
          <w:szCs w:val="24"/>
          <w:u w:val="single"/>
          <w:lang w:val="en-US" w:eastAsia="zh-CN"/>
        </w:rPr>
        <w:t>90</w:t>
      </w:r>
      <w:r>
        <w:rPr>
          <w:rFonts w:hint="eastAsia" w:ascii="宋体" w:hAnsi="宋体" w:eastAsia="宋体" w:cs="宋体"/>
          <w:sz w:val="24"/>
          <w:szCs w:val="24"/>
          <w:lang w:val="en-US" w:eastAsia="zh-CN"/>
        </w:rPr>
        <w:t>个日历日内出具电子版盖章报告和纸质版（以邮寄日期为准）。</w:t>
      </w:r>
    </w:p>
    <w:p w14:paraId="15B944F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 支付方式</w:t>
      </w:r>
    </w:p>
    <w:p w14:paraId="05C5792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■甲方于合同签订后，项目实施前一周内将技术服务费用全额支付给乙方，即¥</w:t>
      </w:r>
      <w:r>
        <w:rPr>
          <w:rFonts w:hint="eastAsia" w:ascii="宋体" w:hAnsi="宋体" w:eastAsia="宋体" w:cs="宋体"/>
          <w:sz w:val="24"/>
          <w:szCs w:val="24"/>
          <w:u w:val="single"/>
          <w:lang w:val="en-US" w:eastAsia="zh-CN"/>
        </w:rPr>
        <w:t>10000</w:t>
      </w:r>
      <w:r>
        <w:rPr>
          <w:rFonts w:hint="eastAsia" w:ascii="宋体" w:hAnsi="宋体" w:eastAsia="宋体" w:cs="宋体"/>
          <w:sz w:val="24"/>
          <w:szCs w:val="24"/>
          <w:lang w:val="en-US" w:eastAsia="zh-CN"/>
        </w:rPr>
        <w:t>元整（人民币大写：</w:t>
      </w:r>
      <w:r>
        <w:rPr>
          <w:rFonts w:hint="eastAsia" w:ascii="宋体" w:hAnsi="宋体" w:eastAsia="宋体" w:cs="宋体"/>
          <w:sz w:val="24"/>
          <w:szCs w:val="24"/>
          <w:u w:val="single"/>
          <w:lang w:val="en-US" w:eastAsia="zh-CN"/>
        </w:rPr>
        <w:t xml:space="preserve"> 壹万元整</w:t>
      </w:r>
      <w:r>
        <w:rPr>
          <w:rFonts w:hint="eastAsia" w:ascii="宋体" w:hAnsi="宋体" w:eastAsia="宋体" w:cs="宋体"/>
          <w:sz w:val="24"/>
          <w:szCs w:val="24"/>
          <w:lang w:val="en-US" w:eastAsia="zh-CN"/>
        </w:rPr>
        <w:t>）。</w:t>
      </w:r>
    </w:p>
    <w:p w14:paraId="5B479C5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■乙方收到全部款项后开具</w:t>
      </w:r>
      <w:r>
        <w:rPr>
          <w:rFonts w:hint="eastAsia" w:ascii="宋体" w:hAnsi="宋体" w:eastAsia="宋体" w:cs="宋体"/>
          <w:sz w:val="24"/>
          <w:szCs w:val="24"/>
          <w:u w:val="single"/>
          <w:lang w:val="en-US" w:eastAsia="zh-CN"/>
        </w:rPr>
        <w:t>普通发票</w:t>
      </w:r>
      <w:r>
        <w:rPr>
          <w:rFonts w:hint="eastAsia" w:ascii="宋体" w:hAnsi="宋体" w:eastAsia="宋体" w:cs="宋体"/>
          <w:sz w:val="24"/>
          <w:szCs w:val="24"/>
          <w:lang w:val="en-US" w:eastAsia="zh-CN"/>
        </w:rPr>
        <w:t>。</w:t>
      </w:r>
    </w:p>
    <w:p w14:paraId="3B1D541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甲方可通过现金或银行转账进行支付，银行转账时应按本合同提供的开户行及账号进行支付，账号信息如下：</w:t>
      </w:r>
    </w:p>
    <w:p w14:paraId="277A003B">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开户名称： 中标信认证（江苏）有限公司</w:t>
      </w:r>
    </w:p>
    <w:p w14:paraId="251C8EF6">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帐    号： 1701210000002723</w:t>
      </w:r>
    </w:p>
    <w:p w14:paraId="199596C3">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开户银行： 南京银行股份有限公司淮安分行</w:t>
      </w:r>
    </w:p>
    <w:p w14:paraId="3404723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甲方支付后，向乙方提供支付凭证，以便确认到账并及时开具发票。</w:t>
      </w:r>
    </w:p>
    <w:p w14:paraId="5E8B5E11">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textAlignment w:val="baseline"/>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 核查时间和交付结果</w:t>
      </w:r>
    </w:p>
    <w:p w14:paraId="101F403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本次温室气体排放审定/核查服务时间为合同签订日期至2025年12月31日。</w:t>
      </w:r>
    </w:p>
    <w:p w14:paraId="74F5F6D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双方约定正式核查时间以双方确定的时间为准。核查需实施一、二阶段审核，一阶段为初始评审，主要包括战略分析和风险评估；二阶段为现场核查取证。</w:t>
      </w:r>
    </w:p>
    <w:p w14:paraId="1CF4616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核查结束由乙方签发核查声明，核查声明的形式一般包括核查报告、陈述。如甲方有其他形式要求，在“1.9其他特殊要求”中注明。</w:t>
      </w:r>
    </w:p>
    <w:p w14:paraId="04CF4918">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textAlignment w:val="baseline"/>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4 双方权利与义务</w:t>
      </w:r>
    </w:p>
    <w:p w14:paraId="67CEE8B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 甲方的权利和义务</w:t>
      </w:r>
    </w:p>
    <w:p w14:paraId="2674E12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4.1.1 甲方的权利</w:t>
      </w:r>
    </w:p>
    <w:p w14:paraId="6241A76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(1)有权宣传获得核查声明的结果；</w:t>
      </w:r>
    </w:p>
    <w:p w14:paraId="591D698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(2)享有由于获得核查声明以及使用证书及标志取得的经济利益；</w:t>
      </w:r>
    </w:p>
    <w:p w14:paraId="7F860D3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(3)甲方对乙方关于拒绝签发核查声明的决定有权提出申诉，有权对不规范的核查行为提出投诉；</w:t>
      </w:r>
    </w:p>
    <w:p w14:paraId="2AC9B1E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(4)甲方有权提出撤销在乙方官网及相关合作平台披露核查结果的申请；</w:t>
      </w:r>
    </w:p>
    <w:p w14:paraId="43DD117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(5)在乙方根本违约时，有权解除合同，要求乙方赔偿损失或者违约金。</w:t>
      </w:r>
    </w:p>
    <w:p w14:paraId="206612E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4.1.2 甲方的义务</w:t>
      </w:r>
    </w:p>
    <w:p w14:paraId="4375174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(1)甲方应及时准确的向乙方提供核查申请资料，实事求是填写《温室气体排放审定/核查申请书》。若甲方延迟缴纳款项、递交材料等，由此迟延造成的不利后果由甲方承担。</w:t>
      </w:r>
    </w:p>
    <w:p w14:paraId="66F2562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(2)甲方应向乙方提供温室气体排放审定/核查报告或清单及其它核查所需要的文件和资料证据，证据应该是真实的，如由于甲方提供的虚假材料导致的一切后果由甲方承担。</w:t>
      </w:r>
    </w:p>
    <w:p w14:paraId="1E89655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(3)甲方所提供的资料、数据、样品、材料或者工作条件不符合合同约定的，应当在双方约定的期限内补充、修改或更换；</w:t>
      </w:r>
    </w:p>
    <w:p w14:paraId="20E2ADF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(4)甲方需为现场核查组提供必要的交通、食宿、通讯、核查期间办公场所及其它必要的工作条件。适用时，为安排观察员提供条件。</w:t>
      </w:r>
      <w:bookmarkStart w:id="0" w:name="_GoBack"/>
      <w:bookmarkEnd w:id="0"/>
    </w:p>
    <w:p w14:paraId="0EEFAF3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甲方有义务遵守温室气体排放审定/核查相关法律法规，协助温室气体排放审定/核查监管部门的监督检查，对温室气体排放审定/核查有关事项的询问和调查如实提供相关材料和信息。由国家生态环境部及地方生态环境主管部门、国家认监委及地方认证监管部门、认可机构和认证机构(乙方)组织的各类见证审核、稽查及抽查，甲方应予以全面配合；</w:t>
      </w:r>
    </w:p>
    <w:p w14:paraId="413D711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(6)核查声明被撤销后，立即停止使用核查报告/证书/标志，并向乙方退还核查报告和证书。</w:t>
      </w:r>
    </w:p>
    <w:p w14:paraId="766C753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(7)按照约定接受乙方的核查声明，并支付报酬；</w:t>
      </w:r>
    </w:p>
    <w:p w14:paraId="2D3C4C4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(8)甲方应当在合同约定的期限范围内履行保守秘密的义务。</w:t>
      </w:r>
    </w:p>
    <w:p w14:paraId="71478F8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4.1.3 甲方的承诺</w:t>
      </w:r>
    </w:p>
    <w:p w14:paraId="5BE69A2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(1)甲方承诺遵守温室气体排放审定/核查和合格评定相关法律法规，协助温室气体排放审定/核查监管部门的监督检查，对有关事项的询问和调查如实提供相关材料和信息；</w:t>
      </w:r>
    </w:p>
    <w:p w14:paraId="3C61572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(2)甲方承诺获得核查声明后，遵守乙方制定的温室气体排放审定/核查规则文件，正确使用核查报告、证书、标志和有关信息。不擅自利用核查声明和相关文字、符号误导公众。</w:t>
      </w:r>
    </w:p>
    <w:p w14:paraId="1165D90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出现重大事故时，甲方应于24小时内通知乙方，乙方在5个工作日内在披露平台撤销核查声明。甲方在核查声明被撤销后24小时内停止使用核查报告、证书和标志，并向乙方退还核查声明(包括核查报告和证书),同时停止有关内容的广告和宣传。</w:t>
      </w:r>
    </w:p>
    <w:p w14:paraId="4218F93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(4)甲方申请注销核查声明时，应提前5个工作日书面通知乙方，同时将证书原件交还乙方，办理注销手续。</w:t>
      </w:r>
    </w:p>
    <w:p w14:paraId="48D5D08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 乙方的权利和义务</w:t>
      </w:r>
    </w:p>
    <w:p w14:paraId="2042833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4.2.1 乙方的权利</w:t>
      </w:r>
    </w:p>
    <w:p w14:paraId="145BDCE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(1)通过核查证明甲方不满足核查要求的，乙方有权不签发核查声明、不允许甲方使用中标信认证的认证标志，但应收取已经发生的核查活动费用。</w:t>
      </w:r>
    </w:p>
    <w:p w14:paraId="3B366D5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(2)甲方获得乙方签发的核查声明后，如不按时支付核查费及核查人员的差旅费用，乙方有权撤销甲方的核查声明，并要求甲方停止使用并退还相关的核查报告、证书和标志。</w:t>
      </w:r>
    </w:p>
    <w:p w14:paraId="40455BE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(3)依据法律要求或认可机构合同要求，向监管部门或认可机构提供甲方信息。</w:t>
      </w:r>
    </w:p>
    <w:p w14:paraId="746E36B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4.2.2 乙方的义务</w:t>
      </w:r>
    </w:p>
    <w:p w14:paraId="679DBAD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(1)根据核查方案，在委托的核查范围内，公正、客观、科学地开展核查活动。</w:t>
      </w:r>
    </w:p>
    <w:p w14:paraId="7242F23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(2)派遣适宜的核查人员，并征得甲方同意。</w:t>
      </w:r>
    </w:p>
    <w:p w14:paraId="6FF3149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通过乙方现场核查，技术评定部复核评审，确认甲方符合温室气体排放审定/核查标准、适用法律法规及乙方制定的核查规则文件等要求后，中标信认证向甲方签发核查声明并告知其核查报告、证书和标志的使用规则。</w:t>
      </w:r>
    </w:p>
    <w:p w14:paraId="74FE3E9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(4)核查要求发生更改时，通知甲方。</w:t>
      </w:r>
    </w:p>
    <w:p w14:paraId="2A7048A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(5)乙方发现甲方提供的资料、数据、样品、材料或者工作条件不符合签发核查声明的，及时通知甲方。</w:t>
      </w:r>
    </w:p>
    <w:p w14:paraId="482A700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(6)甲方获得中标信认证签发的核查声明后，乙方受理第三方对甲方有关投诉，须通报甲方，与甲方协商解决，确属甲方责任的，由甲方负责解决。</w:t>
      </w:r>
    </w:p>
    <w:p w14:paraId="0BD21BF8">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textAlignment w:val="baseline"/>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5 保密条款</w:t>
      </w:r>
    </w:p>
    <w:p w14:paraId="6C33ADD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合同双方应切实履行保密义务，除法律法规要求外，未经对方书面许可，双方均不得向第三方泄露合同内容、与合同有关的费用、因签署本合同而获悉的对方的专有信息及其他保密信息以任何方式泄露给第三方。</w:t>
      </w:r>
    </w:p>
    <w:p w14:paraId="08A46ABE">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textAlignment w:val="baseline"/>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6 违约责任</w:t>
      </w:r>
    </w:p>
    <w:p w14:paraId="022613D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6.1 乙方承担在温室气体排放审定/核查活动中，由于公正性和有效性管理失控而产生的任何合格评定风险及由此带来的任何信誉、经济损失。</w:t>
      </w:r>
    </w:p>
    <w:p w14:paraId="01A66A5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6.2 甲方在乙方签发的核查声明被撤销或注销后，拒不退还核查报告和证书的，视为违约，应当承担支付乙方壹万元人民币的违约金；仍然继续使用被撤销或注销后的核查声明，除承担相应的法律责任外，应当承担支付乙方贰万元人民币的违约金。</w:t>
      </w:r>
    </w:p>
    <w:p w14:paraId="406B147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6.3 甲方没有退还核查声明的相关书面凭证，视为『不退还核查声明』;甲方在核查声明被撤销或注销后仍然在相关网站上公布核查报告、证书，在相关宣传资料中使用核查报告、证书，视为『仍然继续使用被撤销或注销后的核查声明』。</w:t>
      </w:r>
    </w:p>
    <w:p w14:paraId="1E9821C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6.4 甲方应向乙方如实提供温室气体排放审定/核查申请资料，实事求是填写《温室气体排放审定/核查申请书》。如甲方违反诚信原则向乙方提供虚假信息/资料，误导乙方核查员，致使乙方被国家生态环境部或地方生态环境主管部门、国家认监委或地方认证监管部门等处罚，甲方承担由此而发生的全部责任以及必须承担乙方为此而支付的各项全部费用。</w:t>
      </w:r>
    </w:p>
    <w:p w14:paraId="6FD559F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6.5 若因甲方未能履行本合同规定的义务而造成甲方未能取得乙方签发的核查声明，甲方承担由此而发生的全部责任，乙方对此不负任何责任；甲方上述行为给乙方造成损失的，甲方赔偿乙方因此而遭受的全部损失。</w:t>
      </w:r>
    </w:p>
    <w:p w14:paraId="1474FCD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6.6 若因乙方未能履行本合同规定的义务而造成甲方未能获得乙方签发的核查声明，则乙方应返还甲方已支付的温室气体排放审定/核查费用，并对此承担责任。</w:t>
      </w:r>
    </w:p>
    <w:p w14:paraId="2C4A166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6.8 双方若违反合同约定的保密义务，应承担支付违约金或者赔偿损失的责任。</w:t>
      </w:r>
    </w:p>
    <w:p w14:paraId="17EE002C">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textAlignment w:val="baseline"/>
        <w:rPr>
          <w:rFonts w:hint="eastAsia" w:ascii="宋体" w:hAnsi="宋体" w:eastAsia="宋体" w:cs="宋体"/>
          <w:sz w:val="24"/>
          <w:szCs w:val="24"/>
          <w:lang w:val="en-US" w:eastAsia="zh-CN"/>
        </w:rPr>
      </w:pPr>
      <w:r>
        <w:rPr>
          <w:rFonts w:hint="eastAsia" w:ascii="宋体" w:hAnsi="宋体" w:eastAsia="宋体" w:cs="宋体"/>
          <w:b/>
          <w:bCs/>
          <w:sz w:val="28"/>
          <w:szCs w:val="28"/>
          <w:lang w:val="en-US" w:eastAsia="zh-CN"/>
        </w:rPr>
        <w:t>7 不可抗力</w:t>
      </w:r>
    </w:p>
    <w:p w14:paraId="664942F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合同的任何一方因不可抗力的原因，不能履行合同，应及时通知对方，经双方协商一致，可延期履行合同或修改合同中非违约责任的条款。如不能协商一致的，甲方向乙方已支付的服务费用不予返还。</w:t>
      </w:r>
    </w:p>
    <w:p w14:paraId="03F7DD57">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textAlignment w:val="baseline"/>
        <w:rPr>
          <w:rFonts w:hint="eastAsia" w:ascii="宋体" w:hAnsi="宋体" w:eastAsia="宋体" w:cs="宋体"/>
          <w:sz w:val="24"/>
          <w:szCs w:val="24"/>
          <w:lang w:val="en-US" w:eastAsia="zh-CN"/>
        </w:rPr>
      </w:pPr>
      <w:r>
        <w:rPr>
          <w:rFonts w:hint="eastAsia" w:ascii="宋体" w:hAnsi="宋体" w:eastAsia="宋体" w:cs="宋体"/>
          <w:b/>
          <w:bCs/>
          <w:sz w:val="28"/>
          <w:szCs w:val="28"/>
          <w:lang w:val="en-US" w:eastAsia="zh-CN"/>
        </w:rPr>
        <w:t>8 争议处理</w:t>
      </w:r>
    </w:p>
    <w:p w14:paraId="6E87FDD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双方若因履行本合同发生争议，应当通过友好协商解决；协商不成的，由乙方住所地法院通过诉讼方式解决。</w:t>
      </w:r>
    </w:p>
    <w:p w14:paraId="75F9F4A8">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textAlignment w:val="baseline"/>
        <w:rPr>
          <w:rFonts w:hint="eastAsia" w:ascii="宋体" w:hAnsi="宋体" w:eastAsia="宋体" w:cs="宋体"/>
          <w:sz w:val="24"/>
          <w:szCs w:val="24"/>
          <w:lang w:val="en-US" w:eastAsia="zh-CN"/>
        </w:rPr>
      </w:pPr>
      <w:r>
        <w:rPr>
          <w:rFonts w:hint="eastAsia" w:ascii="宋体" w:hAnsi="宋体" w:eastAsia="宋体" w:cs="宋体"/>
          <w:b/>
          <w:bCs/>
          <w:sz w:val="28"/>
          <w:szCs w:val="28"/>
          <w:lang w:val="en-US" w:eastAsia="zh-CN"/>
        </w:rPr>
        <w:t>9 合同的更改和补充</w:t>
      </w:r>
    </w:p>
    <w:p w14:paraId="29B60DD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9.1 本合同未尽事宜，甲乙双方可协商订立补充条款作为本合同的附件。</w:t>
      </w:r>
    </w:p>
    <w:p w14:paraId="520858F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9.2 在合同执行期间，若有变更或补充内容，经双方协商同意后以书面附件的形式记录，签署《合同变更补充协议》,且附件作为本合同不可分割的组成部分与本合同具有相同的法律效力。</w:t>
      </w:r>
    </w:p>
    <w:p w14:paraId="12320E60">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textAlignment w:val="baseline"/>
        <w:rPr>
          <w:rFonts w:hint="eastAsia" w:ascii="宋体" w:hAnsi="宋体" w:eastAsia="宋体" w:cs="宋体"/>
          <w:sz w:val="24"/>
          <w:szCs w:val="24"/>
          <w:lang w:val="en-US" w:eastAsia="zh-CN"/>
        </w:rPr>
      </w:pPr>
      <w:r>
        <w:rPr>
          <w:rFonts w:hint="eastAsia" w:ascii="宋体" w:hAnsi="宋体" w:eastAsia="宋体" w:cs="宋体"/>
          <w:b/>
          <w:bCs/>
          <w:sz w:val="28"/>
          <w:szCs w:val="28"/>
          <w:lang w:val="en-US" w:eastAsia="zh-CN"/>
        </w:rPr>
        <w:t>10 公正廉洁声明</w:t>
      </w:r>
    </w:p>
    <w:p w14:paraId="0FBEB09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乙方郑重声明，为了确保服务过程的公正性，甲方不得向乙方有关的工作人员提供各种礼品、礼金、购物卡等财物；不得邀请乙方有关工作人员参加甲方的娱乐活动等；按照实报实销的原则报销乙方技术人员差旅费用。如甲方违反相关项目过程中的廉洁公正性要求的，可能导致项目无效，由此产生的一切后果由甲方予以承担。</w:t>
      </w:r>
    </w:p>
    <w:p w14:paraId="107EF168">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textAlignment w:val="baseline"/>
        <w:rPr>
          <w:rFonts w:hint="eastAsia" w:ascii="宋体" w:hAnsi="宋体" w:eastAsia="宋体" w:cs="宋体"/>
          <w:sz w:val="24"/>
          <w:szCs w:val="24"/>
          <w:lang w:val="en-US" w:eastAsia="zh-CN"/>
        </w:rPr>
      </w:pPr>
      <w:r>
        <w:rPr>
          <w:rFonts w:hint="eastAsia" w:ascii="宋体" w:hAnsi="宋体" w:eastAsia="宋体" w:cs="宋体"/>
          <w:b/>
          <w:bCs/>
          <w:sz w:val="28"/>
          <w:szCs w:val="28"/>
          <w:lang w:val="en-US" w:eastAsia="zh-CN"/>
        </w:rPr>
        <w:t>11 申投诉方式</w:t>
      </w:r>
    </w:p>
    <w:p w14:paraId="7F7AEE7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如甲方对乙方做出的服务结论或工作人员存在不满意或需要投诉的事宜，请按照以下方式向乙方进行申投诉。</w:t>
      </w:r>
    </w:p>
    <w:p w14:paraId="64FA411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电话：0517-83768688</w:t>
      </w:r>
    </w:p>
    <w:p w14:paraId="30F0557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Email：cscccertification@163.com</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48"/>
        <w:gridCol w:w="5048"/>
      </w:tblGrid>
      <w:tr w14:paraId="1DD66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8" w:type="dxa"/>
            <w:tcBorders>
              <w:top w:val="nil"/>
              <w:left w:val="nil"/>
              <w:bottom w:val="nil"/>
              <w:right w:val="nil"/>
            </w:tcBorders>
          </w:tcPr>
          <w:p w14:paraId="2EA1836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甲方：</w:t>
            </w:r>
          </w:p>
          <w:p w14:paraId="0101A22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（盖章）</w:t>
            </w:r>
          </w:p>
          <w:p w14:paraId="780DDE6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负责人签字：</w:t>
            </w:r>
          </w:p>
          <w:p w14:paraId="46BAF72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开户银行：</w:t>
            </w:r>
          </w:p>
          <w:p w14:paraId="068393F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账    号：</w:t>
            </w:r>
          </w:p>
          <w:p w14:paraId="5F517C5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税务登记号：</w:t>
            </w:r>
          </w:p>
          <w:p w14:paraId="64AFA17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座机电话：</w:t>
            </w:r>
          </w:p>
          <w:p w14:paraId="5F37EC6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联系人手机：</w:t>
            </w:r>
          </w:p>
          <w:p w14:paraId="768696C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通讯地址：</w:t>
            </w:r>
          </w:p>
          <w:p w14:paraId="6C38370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企业邮箱：（必填）</w:t>
            </w:r>
          </w:p>
        </w:tc>
        <w:tc>
          <w:tcPr>
            <w:tcW w:w="5048" w:type="dxa"/>
            <w:tcBorders>
              <w:top w:val="nil"/>
              <w:left w:val="nil"/>
              <w:bottom w:val="nil"/>
              <w:right w:val="nil"/>
            </w:tcBorders>
          </w:tcPr>
          <w:p w14:paraId="0E735BA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乙方：中标信认证（江苏）有限公司</w:t>
            </w:r>
          </w:p>
          <w:p w14:paraId="1DD8B57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(盖章）</w:t>
            </w:r>
          </w:p>
          <w:p w14:paraId="331CEF3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负责人签字：           </w:t>
            </w:r>
          </w:p>
          <w:p w14:paraId="377FB3A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开户银行： 南京银行股份有限公司淮安分行</w:t>
            </w:r>
          </w:p>
          <w:p w14:paraId="23E78F4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账    号： 1701210000002723</w:t>
            </w:r>
          </w:p>
          <w:p w14:paraId="05F4A89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税务登记号: 91330109MA2KJX1U4N</w:t>
            </w:r>
          </w:p>
          <w:p w14:paraId="27E84E7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通讯地址: 江苏省淮安市清江浦区汇丰中央广场1号楼511、512、513、515室</w:t>
            </w:r>
          </w:p>
          <w:p w14:paraId="2E0EEE5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联系电话：19848358187</w:t>
            </w:r>
          </w:p>
          <w:p w14:paraId="1786458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Email: cscccertification@163.com</w:t>
            </w:r>
          </w:p>
        </w:tc>
      </w:tr>
    </w:tbl>
    <w:p w14:paraId="0CAB805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p>
    <w:sectPr>
      <w:footerReference r:id="rId4" w:type="default"/>
      <w:pgSz w:w="11907" w:h="16839"/>
      <w:pgMar w:top="1276" w:right="974" w:bottom="720" w:left="1053" w:header="565" w:footer="404" w:gutter="0"/>
      <w:pgNumType w:fmt="decimal" w:start="2"/>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E1CA4">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68E038">
                          <w:pPr>
                            <w:pStyle w:val="5"/>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eastAsia="宋体"/>
                              <w:lang w:val="en-US" w:eastAsia="zh-CN"/>
                            </w:rPr>
                            <w:t>8</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868E038">
                    <w:pPr>
                      <w:pStyle w:val="5"/>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eastAsia="宋体"/>
                        <w:lang w:val="en-US" w:eastAsia="zh-CN"/>
                      </w:rPr>
                      <w:t>8</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F3B3F">
    <w:pPr>
      <w:pStyle w:val="6"/>
      <w:jc w:val="right"/>
      <w:rPr>
        <w:rFonts w:hint="eastAsia" w:ascii="黑体" w:hAnsi="Times New Roman" w:eastAsia="黑体" w:cs="Times New Roman"/>
        <w:b w:val="0"/>
        <w:bCs/>
        <w:snapToGrid/>
        <w:color w:val="000000"/>
        <w:kern w:val="2"/>
        <w:sz w:val="21"/>
        <w:szCs w:val="21"/>
        <w:lang w:val="en-US" w:eastAsia="zh-CN" w:bidi="ar-SA"/>
      </w:rPr>
    </w:pPr>
    <w:r>
      <w:rPr>
        <w:rFonts w:hint="eastAsia" w:ascii="黑体" w:hAnsi="黑体" w:eastAsia="黑体" w:cs="黑体"/>
        <w:sz w:val="21"/>
        <w:szCs w:val="21"/>
      </w:rPr>
      <w:drawing>
        <wp:anchor distT="0" distB="0" distL="114300" distR="114300" simplePos="0" relativeHeight="251659264" behindDoc="0" locked="0" layoutInCell="1" allowOverlap="1">
          <wp:simplePos x="0" y="0"/>
          <wp:positionH relativeFrom="column">
            <wp:posOffset>3810</wp:posOffset>
          </wp:positionH>
          <wp:positionV relativeFrom="paragraph">
            <wp:posOffset>-58420</wp:posOffset>
          </wp:positionV>
          <wp:extent cx="1919605" cy="243205"/>
          <wp:effectExtent l="0" t="0" r="0" b="635"/>
          <wp:wrapNone/>
          <wp:docPr id="4" name="图片 4" descr="中标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中标信"/>
                  <pic:cNvPicPr>
                    <a:picLocks noChangeAspect="1"/>
                  </pic:cNvPicPr>
                </pic:nvPicPr>
                <pic:blipFill>
                  <a:blip r:embed="rId1"/>
                  <a:stretch>
                    <a:fillRect/>
                  </a:stretch>
                </pic:blipFill>
                <pic:spPr>
                  <a:xfrm>
                    <a:off x="0" y="0"/>
                    <a:ext cx="1919605" cy="243205"/>
                  </a:xfrm>
                  <a:prstGeom prst="rect">
                    <a:avLst/>
                  </a:prstGeom>
                </pic:spPr>
              </pic:pic>
            </a:graphicData>
          </a:graphic>
        </wp:anchor>
      </w:drawing>
    </w:r>
    <w:r>
      <w:rPr>
        <w:rFonts w:hint="eastAsia" w:ascii="黑体" w:hAnsi="Times New Roman" w:eastAsia="黑体" w:cs="Times New Roman"/>
        <w:b w:val="0"/>
        <w:bCs/>
        <w:snapToGrid/>
        <w:color w:val="000000"/>
        <w:kern w:val="2"/>
        <w:sz w:val="21"/>
        <w:szCs w:val="21"/>
        <w:lang w:val="en-US" w:eastAsia="zh-CN" w:bidi="ar-SA"/>
      </w:rPr>
      <w:t>CSCC-GHG-JL03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Dk2Y2NjMTA2OGY2YzgxNDNlNTNhZjEzMjRhOTZiNTEifQ=="/>
  </w:docVars>
  <w:rsids>
    <w:rsidRoot w:val="00007F7E"/>
    <w:rsid w:val="00003382"/>
    <w:rsid w:val="00007F7E"/>
    <w:rsid w:val="00067DAA"/>
    <w:rsid w:val="00084D6C"/>
    <w:rsid w:val="000F65C3"/>
    <w:rsid w:val="001344E5"/>
    <w:rsid w:val="00193FF1"/>
    <w:rsid w:val="001B3E9E"/>
    <w:rsid w:val="001D1EA7"/>
    <w:rsid w:val="002009E4"/>
    <w:rsid w:val="00236B22"/>
    <w:rsid w:val="00350DB5"/>
    <w:rsid w:val="003604A7"/>
    <w:rsid w:val="003D4E35"/>
    <w:rsid w:val="00453DA6"/>
    <w:rsid w:val="0049624B"/>
    <w:rsid w:val="004A55CC"/>
    <w:rsid w:val="004A621C"/>
    <w:rsid w:val="0054274D"/>
    <w:rsid w:val="005574AC"/>
    <w:rsid w:val="00566596"/>
    <w:rsid w:val="005B5E2D"/>
    <w:rsid w:val="00635606"/>
    <w:rsid w:val="006C7760"/>
    <w:rsid w:val="007161B3"/>
    <w:rsid w:val="00915BA3"/>
    <w:rsid w:val="00934E9F"/>
    <w:rsid w:val="00941AEF"/>
    <w:rsid w:val="0098652A"/>
    <w:rsid w:val="0099457C"/>
    <w:rsid w:val="00A44614"/>
    <w:rsid w:val="00B056BD"/>
    <w:rsid w:val="00B1171F"/>
    <w:rsid w:val="00B22D58"/>
    <w:rsid w:val="00B244EF"/>
    <w:rsid w:val="00B7157A"/>
    <w:rsid w:val="00D630CA"/>
    <w:rsid w:val="00D9355B"/>
    <w:rsid w:val="00DD211F"/>
    <w:rsid w:val="00E17549"/>
    <w:rsid w:val="00EA4F4F"/>
    <w:rsid w:val="00EF6144"/>
    <w:rsid w:val="00F91C11"/>
    <w:rsid w:val="00FF222F"/>
    <w:rsid w:val="04D00971"/>
    <w:rsid w:val="04E27045"/>
    <w:rsid w:val="05595C82"/>
    <w:rsid w:val="057F7625"/>
    <w:rsid w:val="06654127"/>
    <w:rsid w:val="09C35E1E"/>
    <w:rsid w:val="09DC3BDF"/>
    <w:rsid w:val="0A1411C2"/>
    <w:rsid w:val="0AE31100"/>
    <w:rsid w:val="0E531173"/>
    <w:rsid w:val="0F476932"/>
    <w:rsid w:val="12626E57"/>
    <w:rsid w:val="18676DDA"/>
    <w:rsid w:val="1904741C"/>
    <w:rsid w:val="1A400846"/>
    <w:rsid w:val="1A773EBB"/>
    <w:rsid w:val="1AEB3CAA"/>
    <w:rsid w:val="1C0F785F"/>
    <w:rsid w:val="1CEA3F14"/>
    <w:rsid w:val="1E374999"/>
    <w:rsid w:val="1F066982"/>
    <w:rsid w:val="1F6A359B"/>
    <w:rsid w:val="1FC91603"/>
    <w:rsid w:val="20A73392"/>
    <w:rsid w:val="21005321"/>
    <w:rsid w:val="231D709A"/>
    <w:rsid w:val="24217571"/>
    <w:rsid w:val="26FA013D"/>
    <w:rsid w:val="2990258A"/>
    <w:rsid w:val="29A673E5"/>
    <w:rsid w:val="2C134214"/>
    <w:rsid w:val="2D317A4E"/>
    <w:rsid w:val="2F0E5E20"/>
    <w:rsid w:val="30795596"/>
    <w:rsid w:val="30BA6D84"/>
    <w:rsid w:val="314C5F08"/>
    <w:rsid w:val="36B75963"/>
    <w:rsid w:val="36FA7068"/>
    <w:rsid w:val="37D10392"/>
    <w:rsid w:val="398A4097"/>
    <w:rsid w:val="3B284947"/>
    <w:rsid w:val="3C5462DE"/>
    <w:rsid w:val="3C8500FF"/>
    <w:rsid w:val="3F9314B3"/>
    <w:rsid w:val="44F41E24"/>
    <w:rsid w:val="46BB4BBD"/>
    <w:rsid w:val="46CE17A1"/>
    <w:rsid w:val="4A7A599D"/>
    <w:rsid w:val="4B9930F9"/>
    <w:rsid w:val="4C8251E0"/>
    <w:rsid w:val="4C86690C"/>
    <w:rsid w:val="4EAF2703"/>
    <w:rsid w:val="4F347AEC"/>
    <w:rsid w:val="500B3467"/>
    <w:rsid w:val="50E83D95"/>
    <w:rsid w:val="50FA143F"/>
    <w:rsid w:val="516E329B"/>
    <w:rsid w:val="539E0889"/>
    <w:rsid w:val="53A52BF3"/>
    <w:rsid w:val="55166924"/>
    <w:rsid w:val="5B265C9C"/>
    <w:rsid w:val="5B8925C8"/>
    <w:rsid w:val="5C1E53D2"/>
    <w:rsid w:val="5D1010C4"/>
    <w:rsid w:val="5DA541AF"/>
    <w:rsid w:val="5DBC7380"/>
    <w:rsid w:val="5DED6625"/>
    <w:rsid w:val="5F923CA3"/>
    <w:rsid w:val="5FBF2DF5"/>
    <w:rsid w:val="616A2913"/>
    <w:rsid w:val="6178048D"/>
    <w:rsid w:val="6A1A17C5"/>
    <w:rsid w:val="6A1E5BD4"/>
    <w:rsid w:val="6A515DCC"/>
    <w:rsid w:val="703819D4"/>
    <w:rsid w:val="70BA6916"/>
    <w:rsid w:val="71994D53"/>
    <w:rsid w:val="72730565"/>
    <w:rsid w:val="729570D4"/>
    <w:rsid w:val="76802D71"/>
    <w:rsid w:val="786724C2"/>
    <w:rsid w:val="78FD7415"/>
    <w:rsid w:val="7942171C"/>
    <w:rsid w:val="7DED7689"/>
    <w:rsid w:val="7E623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Plain Text"/>
    <w:basedOn w:val="1"/>
    <w:link w:val="15"/>
    <w:autoRedefine/>
    <w:qFormat/>
    <w:uiPriority w:val="0"/>
    <w:pPr>
      <w:widowControl w:val="0"/>
      <w:kinsoku/>
      <w:autoSpaceDE/>
      <w:autoSpaceDN/>
      <w:adjustRightInd/>
      <w:snapToGrid/>
      <w:jc w:val="both"/>
      <w:textAlignment w:val="auto"/>
    </w:pPr>
    <w:rPr>
      <w:rFonts w:ascii="Courier New" w:hAnsi="Courier New" w:eastAsia="宋体" w:cs="Times New Roman"/>
      <w:snapToGrid/>
      <w:color w:val="auto"/>
      <w:kern w:val="2"/>
      <w:szCs w:val="24"/>
    </w:rPr>
  </w:style>
  <w:style w:type="paragraph" w:styleId="4">
    <w:name w:val="Balloon Text"/>
    <w:basedOn w:val="1"/>
    <w:link w:val="17"/>
    <w:autoRedefine/>
    <w:qFormat/>
    <w:uiPriority w:val="0"/>
    <w:rPr>
      <w:sz w:val="18"/>
      <w:szCs w:val="18"/>
    </w:rPr>
  </w:style>
  <w:style w:type="paragraph" w:styleId="5">
    <w:name w:val="footer"/>
    <w:basedOn w:val="1"/>
    <w:link w:val="14"/>
    <w:autoRedefine/>
    <w:qFormat/>
    <w:uiPriority w:val="0"/>
    <w:pPr>
      <w:tabs>
        <w:tab w:val="center" w:pos="4153"/>
        <w:tab w:val="right" w:pos="8306"/>
      </w:tabs>
    </w:pPr>
    <w:rPr>
      <w:sz w:val="18"/>
      <w:szCs w:val="18"/>
    </w:rPr>
  </w:style>
  <w:style w:type="paragraph" w:styleId="6">
    <w:name w:val="header"/>
    <w:basedOn w:val="1"/>
    <w:link w:val="13"/>
    <w:autoRedefine/>
    <w:qFormat/>
    <w:uiPriority w:val="0"/>
    <w:pPr>
      <w:pBdr>
        <w:bottom w:val="single" w:color="auto" w:sz="6" w:space="1"/>
      </w:pBdr>
      <w:tabs>
        <w:tab w:val="center" w:pos="4153"/>
        <w:tab w:val="right" w:pos="8306"/>
      </w:tabs>
      <w:jc w:val="center"/>
    </w:pPr>
    <w:rPr>
      <w:sz w:val="18"/>
      <w:szCs w:val="18"/>
    </w:rPr>
  </w:style>
  <w:style w:type="paragraph" w:styleId="7">
    <w:name w:val="Body Text Indent 3"/>
    <w:basedOn w:val="1"/>
    <w:link w:val="16"/>
    <w:autoRedefine/>
    <w:qFormat/>
    <w:uiPriority w:val="0"/>
    <w:pPr>
      <w:widowControl w:val="0"/>
      <w:kinsoku/>
      <w:autoSpaceDE/>
      <w:autoSpaceDN/>
      <w:adjustRightInd/>
      <w:snapToGrid/>
      <w:spacing w:after="120"/>
      <w:ind w:left="420" w:leftChars="200"/>
      <w:jc w:val="both"/>
      <w:textAlignment w:val="auto"/>
    </w:pPr>
    <w:rPr>
      <w:rFonts w:ascii="Times New Roman" w:hAnsi="Times New Roman" w:eastAsia="宋体" w:cs="Times New Roman"/>
      <w:snapToGrid/>
      <w:color w:val="auto"/>
      <w:kern w:val="2"/>
      <w:sz w:val="16"/>
      <w:szCs w:val="16"/>
    </w:rPr>
  </w:style>
  <w:style w:type="table" w:styleId="9">
    <w:name w:val="Table Grid"/>
    <w:basedOn w:val="8"/>
    <w:qFormat/>
    <w:uiPriority w:val="99"/>
    <w:rPr>
      <w:rFonts w:ascii="Times New Roman" w:hAnsi="Times New Roman"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autoRedefine/>
    <w:qFormat/>
    <w:uiPriority w:val="0"/>
    <w:rPr>
      <w:color w:val="0000FF"/>
      <w:u w:val="single"/>
    </w:rPr>
  </w:style>
  <w:style w:type="table" w:customStyle="1" w:styleId="12">
    <w:name w:val="Table Normal"/>
    <w:autoRedefine/>
    <w:semiHidden/>
    <w:unhideWhenUsed/>
    <w:qFormat/>
    <w:uiPriority w:val="0"/>
    <w:tblPr>
      <w:tblCellMar>
        <w:top w:w="0" w:type="dxa"/>
        <w:left w:w="0" w:type="dxa"/>
        <w:bottom w:w="0" w:type="dxa"/>
        <w:right w:w="0" w:type="dxa"/>
      </w:tblCellMar>
    </w:tblPr>
  </w:style>
  <w:style w:type="character" w:customStyle="1" w:styleId="13">
    <w:name w:val="页眉 Char"/>
    <w:basedOn w:val="10"/>
    <w:link w:val="6"/>
    <w:autoRedefine/>
    <w:qFormat/>
    <w:uiPriority w:val="0"/>
    <w:rPr>
      <w:rFonts w:eastAsia="Arial"/>
      <w:snapToGrid w:val="0"/>
      <w:color w:val="000000"/>
      <w:sz w:val="18"/>
      <w:szCs w:val="18"/>
    </w:rPr>
  </w:style>
  <w:style w:type="character" w:customStyle="1" w:styleId="14">
    <w:name w:val="页脚 Char"/>
    <w:basedOn w:val="10"/>
    <w:link w:val="5"/>
    <w:autoRedefine/>
    <w:qFormat/>
    <w:uiPriority w:val="0"/>
    <w:rPr>
      <w:rFonts w:eastAsia="Arial"/>
      <w:snapToGrid w:val="0"/>
      <w:color w:val="000000"/>
      <w:sz w:val="18"/>
      <w:szCs w:val="18"/>
    </w:rPr>
  </w:style>
  <w:style w:type="character" w:customStyle="1" w:styleId="15">
    <w:name w:val="纯文本 Char"/>
    <w:basedOn w:val="10"/>
    <w:link w:val="3"/>
    <w:autoRedefine/>
    <w:qFormat/>
    <w:uiPriority w:val="0"/>
    <w:rPr>
      <w:rFonts w:ascii="Courier New" w:hAnsi="Courier New" w:eastAsia="宋体" w:cs="Times New Roman"/>
      <w:kern w:val="2"/>
      <w:sz w:val="21"/>
      <w:szCs w:val="24"/>
    </w:rPr>
  </w:style>
  <w:style w:type="character" w:customStyle="1" w:styleId="16">
    <w:name w:val="正文文本缩进 3 Char"/>
    <w:basedOn w:val="10"/>
    <w:link w:val="7"/>
    <w:autoRedefine/>
    <w:qFormat/>
    <w:uiPriority w:val="0"/>
    <w:rPr>
      <w:rFonts w:ascii="Times New Roman" w:hAnsi="Times New Roman" w:eastAsia="宋体" w:cs="Times New Roman"/>
      <w:kern w:val="2"/>
      <w:sz w:val="16"/>
      <w:szCs w:val="16"/>
    </w:rPr>
  </w:style>
  <w:style w:type="character" w:customStyle="1" w:styleId="17">
    <w:name w:val="批注框文本 Char"/>
    <w:basedOn w:val="10"/>
    <w:link w:val="4"/>
    <w:autoRedefine/>
    <w:qFormat/>
    <w:uiPriority w:val="0"/>
    <w:rPr>
      <w:rFonts w:eastAsia="Arial"/>
      <w:snapToGrid w:val="0"/>
      <w:color w:val="000000"/>
      <w:sz w:val="18"/>
      <w:szCs w:val="18"/>
    </w:rPr>
  </w:style>
  <w:style w:type="paragraph" w:customStyle="1" w:styleId="18">
    <w:name w:val="Table Text"/>
    <w:basedOn w:val="1"/>
    <w:semiHidden/>
    <w:qFormat/>
    <w:uiPriority w:val="0"/>
    <w:rPr>
      <w:rFonts w:ascii="宋体" w:hAnsi="宋体" w:eastAsia="宋体" w:cs="宋体"/>
      <w:sz w:val="25"/>
      <w:szCs w:val="25"/>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4394</Words>
  <Characters>4800</Characters>
  <Lines>10</Lines>
  <Paragraphs>2</Paragraphs>
  <TotalTime>0</TotalTime>
  <ScaleCrop>false</ScaleCrop>
  <LinksUpToDate>false</LinksUpToDate>
  <CharactersWithSpaces>5009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2022-10-12T09:27:00Z</dcterms:created>
  <dc:creator>chom</dc:creator>
  <cp:lastModifiedBy>旺仔麻薯团</cp:lastModifiedBy>
  <cp:lastPrinted>2025-11-11T07:37:00Z</cp:lastPrinted>
  <dcterms:modified xsi:type="dcterms:W3CDTF">2025-12-27T09:54:46Z</dcterms:modified>
  <dc:title>合  同  评  审</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EF089979E78C41E4873C52576A93E7E7</vt:lpwstr>
  </property>
  <property fmtid="{D5CDD505-2E9C-101B-9397-08002B2CF9AE}" pid="4" name="KSOTemplateDocerSaveRecord">
    <vt:lpwstr>eyJoZGlkIjoiODZlMzFkNTQ3NjQ2ZGI2OWNkOGExNDU4NmQ5YWJhMTAiLCJ1c2VySWQiOiIzOTMzMjY2NTcifQ==</vt:lpwstr>
  </property>
</Properties>
</file>