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97E30">
      <w:pPr>
        <w:jc w:val="center"/>
        <w:rPr>
          <w:rFonts w:hint="eastAsia" w:ascii="宋体" w:hAnsi="宋体" w:eastAsia="宋体" w:cs="宋体"/>
          <w:b/>
          <w:bCs/>
          <w:sz w:val="36"/>
          <w:szCs w:val="36"/>
          <w:lang w:eastAsia="zh-CN"/>
        </w:rPr>
      </w:pPr>
      <w:bookmarkStart w:id="0" w:name="_GoBack"/>
      <w:bookmarkEnd w:id="0"/>
    </w:p>
    <w:p w14:paraId="0F2F7211">
      <w:pPr>
        <w:jc w:val="center"/>
        <w:rPr>
          <w:rFonts w:hint="eastAsia" w:ascii="宋体" w:hAnsi="宋体" w:eastAsia="宋体" w:cs="宋体"/>
          <w:b/>
          <w:bCs/>
          <w:sz w:val="36"/>
          <w:szCs w:val="36"/>
          <w:lang w:eastAsia="zh-CN"/>
        </w:rPr>
      </w:pPr>
    </w:p>
    <w:p w14:paraId="092CC117">
      <w:pPr>
        <w:jc w:val="center"/>
        <w:rPr>
          <w:rFonts w:hint="eastAsia" w:ascii="宋体" w:hAnsi="宋体" w:eastAsia="宋体" w:cs="宋体"/>
          <w:b/>
          <w:bCs/>
          <w:sz w:val="36"/>
          <w:szCs w:val="36"/>
          <w:lang w:eastAsia="zh-CN"/>
        </w:rPr>
      </w:pPr>
    </w:p>
    <w:p w14:paraId="0944AF80">
      <w:pPr>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drawing>
          <wp:inline distT="0" distB="0" distL="114300" distR="114300">
            <wp:extent cx="3601720" cy="2774315"/>
            <wp:effectExtent l="0" t="0" r="17780" b="6985"/>
            <wp:docPr id="4" name="图片 4" descr="f48e427c37c9e868633fd031953d4b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48e427c37c9e868633fd031953d4b9f"/>
                    <pic:cNvPicPr>
                      <a:picLocks noChangeAspect="1"/>
                    </pic:cNvPicPr>
                  </pic:nvPicPr>
                  <pic:blipFill>
                    <a:blip r:embed="rId6"/>
                    <a:stretch>
                      <a:fillRect/>
                    </a:stretch>
                  </pic:blipFill>
                  <pic:spPr>
                    <a:xfrm>
                      <a:off x="0" y="0"/>
                      <a:ext cx="3601720" cy="2774315"/>
                    </a:xfrm>
                    <a:prstGeom prst="rect">
                      <a:avLst/>
                    </a:prstGeom>
                  </pic:spPr>
                </pic:pic>
              </a:graphicData>
            </a:graphic>
          </wp:inline>
        </w:drawing>
      </w:r>
    </w:p>
    <w:p w14:paraId="67AD4D8C">
      <w:pPr>
        <w:rPr>
          <w:rFonts w:hint="eastAsia" w:ascii="宋体" w:hAnsi="宋体" w:eastAsia="宋体" w:cs="宋体"/>
          <w:b/>
          <w:bCs/>
          <w:sz w:val="36"/>
          <w:szCs w:val="36"/>
        </w:rPr>
      </w:pPr>
    </w:p>
    <w:p w14:paraId="267F5C8A">
      <w:pPr>
        <w:rPr>
          <w:rFonts w:hint="eastAsia" w:ascii="宋体" w:hAnsi="宋体" w:eastAsia="宋体" w:cs="宋体"/>
          <w:b/>
          <w:bCs/>
          <w:sz w:val="36"/>
          <w:szCs w:val="36"/>
        </w:rPr>
      </w:pPr>
    </w:p>
    <w:p w14:paraId="0577650B">
      <w:pPr>
        <w:rPr>
          <w:rFonts w:hint="eastAsia" w:ascii="宋体" w:hAnsi="宋体" w:eastAsia="宋体" w:cs="宋体"/>
          <w:b/>
          <w:bCs/>
          <w:sz w:val="36"/>
          <w:szCs w:val="36"/>
        </w:rPr>
      </w:pPr>
    </w:p>
    <w:p w14:paraId="376F7091">
      <w:pPr>
        <w:rPr>
          <w:rFonts w:hint="eastAsia" w:ascii="宋体" w:hAnsi="宋体" w:eastAsia="宋体" w:cs="宋体"/>
          <w:b/>
          <w:bCs/>
          <w:sz w:val="36"/>
          <w:szCs w:val="36"/>
        </w:rPr>
      </w:pPr>
    </w:p>
    <w:p w14:paraId="131B4F16">
      <w:pPr>
        <w:widowControl w:val="0"/>
        <w:kinsoku/>
        <w:autoSpaceDE/>
        <w:autoSpaceDN/>
        <w:adjustRightInd/>
        <w:snapToGrid/>
        <w:spacing w:beforeLines="50" w:line="480" w:lineRule="auto"/>
        <w:jc w:val="center"/>
        <w:textAlignment w:val="auto"/>
        <w:rPr>
          <w:rFonts w:hint="eastAsia" w:ascii="宋体" w:hAnsi="宋体" w:eastAsia="宋体" w:cs="Times New Roman"/>
          <w:b/>
          <w:bCs/>
          <w:snapToGrid/>
          <w:kern w:val="2"/>
          <w:sz w:val="72"/>
          <w:szCs w:val="72"/>
        </w:rPr>
      </w:pPr>
      <w:r>
        <w:rPr>
          <w:rFonts w:hint="eastAsia" w:ascii="宋体" w:hAnsi="宋体" w:eastAsia="宋体" w:cs="Times New Roman"/>
          <w:b/>
          <w:bCs/>
          <w:snapToGrid/>
          <w:kern w:val="2"/>
          <w:sz w:val="72"/>
          <w:szCs w:val="72"/>
        </w:rPr>
        <w:t>审定与核查合同书</w:t>
      </w:r>
    </w:p>
    <w:p w14:paraId="415706EF">
      <w:pPr>
        <w:spacing w:beforeLines="50" w:line="480" w:lineRule="auto"/>
        <w:rPr>
          <w:rFonts w:hint="eastAsia" w:ascii="宋体" w:hAnsi="宋体"/>
          <w:b/>
          <w:bCs/>
          <w:sz w:val="28"/>
          <w:szCs w:val="28"/>
        </w:rPr>
      </w:pPr>
    </w:p>
    <w:p w14:paraId="40AC2373">
      <w:pPr>
        <w:spacing w:before="187" w:line="624" w:lineRule="exact"/>
        <w:ind w:firstLine="2314"/>
        <w:rPr>
          <w:rFonts w:hint="default" w:ascii="宋体" w:hAnsi="宋体" w:eastAsia="宋体" w:cs="宋体"/>
          <w:sz w:val="30"/>
          <w:szCs w:val="30"/>
          <w:lang w:val="en-US" w:eastAsia="zh-CN"/>
        </w:rPr>
      </w:pPr>
      <w:r>
        <w:rPr>
          <w:rFonts w:hint="eastAsia" w:ascii="宋体" w:hAnsi="宋体" w:eastAsia="宋体" w:cs="宋体"/>
          <w:spacing w:val="-2"/>
          <w:position w:val="24"/>
          <w:sz w:val="30"/>
          <w:szCs w:val="30"/>
        </w:rPr>
        <w:t>甲</w:t>
      </w:r>
      <w:r>
        <w:rPr>
          <w:rFonts w:hint="eastAsia" w:ascii="宋体" w:hAnsi="宋体" w:eastAsia="宋体" w:cs="宋体"/>
          <w:spacing w:val="-2"/>
          <w:position w:val="24"/>
          <w:sz w:val="30"/>
          <w:szCs w:val="30"/>
          <w:lang w:val="en-US" w:eastAsia="zh-CN"/>
        </w:rPr>
        <w:t xml:space="preserve">    </w:t>
      </w:r>
      <w:r>
        <w:rPr>
          <w:rFonts w:hint="eastAsia" w:ascii="宋体" w:hAnsi="宋体" w:eastAsia="宋体" w:cs="宋体"/>
          <w:spacing w:val="-2"/>
          <w:position w:val="24"/>
          <w:sz w:val="30"/>
          <w:szCs w:val="30"/>
        </w:rPr>
        <w:t>方：</w:t>
      </w:r>
      <w:r>
        <w:rPr>
          <w:rFonts w:hint="eastAsia" w:ascii="宋体" w:hAnsi="宋体" w:eastAsia="宋体" w:cs="宋体"/>
          <w:spacing w:val="-2"/>
          <w:position w:val="24"/>
          <w:sz w:val="30"/>
          <w:szCs w:val="30"/>
          <w:u w:val="single"/>
          <w:lang w:val="en-US" w:eastAsia="zh-CN"/>
        </w:rPr>
        <w:t xml:space="preserve">                          </w:t>
      </w:r>
    </w:p>
    <w:p w14:paraId="44EE5932">
      <w:pPr>
        <w:spacing w:line="204" w:lineRule="auto"/>
        <w:ind w:firstLine="2314"/>
        <w:rPr>
          <w:rFonts w:hint="default" w:ascii="宋体" w:hAnsi="宋体" w:eastAsia="宋体" w:cs="宋体"/>
          <w:spacing w:val="-3"/>
          <w:sz w:val="30"/>
          <w:szCs w:val="30"/>
          <w:u w:val="single"/>
          <w:lang w:val="en-US" w:eastAsia="zh-CN"/>
        </w:rPr>
      </w:pPr>
      <w:r>
        <w:rPr>
          <w:rFonts w:hint="eastAsia" w:ascii="宋体" w:hAnsi="宋体" w:eastAsia="宋体" w:cs="宋体"/>
          <w:spacing w:val="-3"/>
          <w:sz w:val="30"/>
          <w:szCs w:val="30"/>
        </w:rPr>
        <w:t>乙</w:t>
      </w:r>
      <w:r>
        <w:rPr>
          <w:rFonts w:hint="eastAsia" w:ascii="宋体" w:hAnsi="宋体" w:eastAsia="宋体" w:cs="宋体"/>
          <w:spacing w:val="-3"/>
          <w:sz w:val="30"/>
          <w:szCs w:val="30"/>
          <w:lang w:val="en-US" w:eastAsia="zh-CN"/>
        </w:rPr>
        <w:t xml:space="preserve">    </w:t>
      </w:r>
      <w:r>
        <w:rPr>
          <w:rFonts w:hint="eastAsia" w:ascii="宋体" w:hAnsi="宋体" w:eastAsia="宋体" w:cs="宋体"/>
          <w:spacing w:val="-3"/>
          <w:sz w:val="30"/>
          <w:szCs w:val="30"/>
        </w:rPr>
        <w:t>方：</w:t>
      </w:r>
      <w:r>
        <w:rPr>
          <w:rFonts w:hint="eastAsia" w:ascii="宋体" w:hAnsi="宋体" w:eastAsia="宋体" w:cs="宋体"/>
          <w:spacing w:val="-3"/>
          <w:sz w:val="30"/>
          <w:szCs w:val="30"/>
          <w:u w:val="single"/>
          <w:lang w:val="en-US" w:eastAsia="zh-CN"/>
        </w:rPr>
        <w:t xml:space="preserve">                          </w:t>
      </w:r>
    </w:p>
    <w:p w14:paraId="45997039">
      <w:pPr>
        <w:spacing w:line="204" w:lineRule="auto"/>
        <w:ind w:firstLine="2314"/>
        <w:rPr>
          <w:rFonts w:hint="eastAsia" w:ascii="宋体" w:hAnsi="宋体" w:eastAsia="宋体" w:cs="宋体"/>
          <w:spacing w:val="-3"/>
          <w:sz w:val="30"/>
          <w:szCs w:val="30"/>
          <w:u w:val="single"/>
          <w:lang w:eastAsia="zh-CN"/>
        </w:rPr>
      </w:pPr>
    </w:p>
    <w:p w14:paraId="7B078607">
      <w:pPr>
        <w:spacing w:line="204" w:lineRule="auto"/>
        <w:ind w:firstLine="2314"/>
        <w:rPr>
          <w:rFonts w:hint="eastAsia" w:ascii="宋体" w:hAnsi="宋体" w:eastAsia="宋体" w:cs="宋体"/>
          <w:b/>
          <w:bCs/>
          <w:sz w:val="36"/>
          <w:szCs w:val="36"/>
        </w:rPr>
      </w:pPr>
      <w:r>
        <w:rPr>
          <w:rFonts w:hint="eastAsia" w:ascii="宋体" w:hAnsi="宋体" w:eastAsia="宋体" w:cs="宋体"/>
          <w:spacing w:val="-3"/>
          <w:sz w:val="30"/>
          <w:szCs w:val="30"/>
        </w:rPr>
        <w:t>合同编号：</w:t>
      </w:r>
      <w:r>
        <w:rPr>
          <w:rFonts w:hint="eastAsia" w:ascii="宋体" w:hAnsi="宋体" w:eastAsia="宋体" w:cs="宋体"/>
          <w:spacing w:val="-3"/>
          <w:sz w:val="30"/>
          <w:szCs w:val="30"/>
          <w:u w:val="single"/>
          <w:lang w:val="en-US" w:eastAsia="zh-CN"/>
        </w:rPr>
        <w:t xml:space="preserve">                        </w:t>
      </w:r>
      <w:r>
        <w:rPr>
          <w:rFonts w:hint="eastAsia" w:ascii="宋体" w:hAnsi="宋体" w:eastAsia="宋体" w:cs="宋体"/>
          <w:spacing w:val="-3"/>
          <w:sz w:val="30"/>
          <w:szCs w:val="30"/>
          <w:u w:val="single"/>
        </w:rPr>
        <w:t xml:space="preserve">  </w:t>
      </w:r>
    </w:p>
    <w:p w14:paraId="5570F910">
      <w:pPr>
        <w:spacing w:line="204" w:lineRule="auto"/>
        <w:rPr>
          <w:rFonts w:hint="eastAsia" w:ascii="宋体" w:hAnsi="宋体" w:eastAsia="宋体" w:cs="宋体"/>
          <w:spacing w:val="-3"/>
          <w:sz w:val="30"/>
          <w:szCs w:val="30"/>
        </w:rPr>
      </w:pPr>
    </w:p>
    <w:p w14:paraId="0C15B488">
      <w:pPr>
        <w:spacing w:line="204" w:lineRule="auto"/>
        <w:ind w:firstLine="2314"/>
        <w:rPr>
          <w:rFonts w:hint="eastAsia" w:ascii="宋体" w:hAnsi="宋体" w:eastAsia="宋体" w:cs="宋体"/>
          <w:spacing w:val="-3"/>
          <w:sz w:val="30"/>
          <w:szCs w:val="30"/>
        </w:rPr>
      </w:pPr>
    </w:p>
    <w:p w14:paraId="71B850E7">
      <w:pPr>
        <w:spacing w:line="204" w:lineRule="auto"/>
        <w:ind w:firstLine="2314"/>
        <w:rPr>
          <w:rFonts w:hint="eastAsia" w:ascii="宋体" w:hAnsi="宋体" w:eastAsia="宋体" w:cs="宋体"/>
          <w:spacing w:val="-3"/>
          <w:sz w:val="30"/>
          <w:szCs w:val="30"/>
        </w:rPr>
      </w:pPr>
    </w:p>
    <w:p w14:paraId="3FCD4D95">
      <w:pPr>
        <w:spacing w:line="204" w:lineRule="auto"/>
        <w:ind w:firstLine="2314"/>
        <w:rPr>
          <w:rFonts w:hint="eastAsia" w:ascii="宋体" w:hAnsi="宋体" w:eastAsia="宋体" w:cs="宋体"/>
          <w:spacing w:val="-3"/>
          <w:sz w:val="30"/>
          <w:szCs w:val="30"/>
        </w:rPr>
      </w:pPr>
    </w:p>
    <w:p w14:paraId="30D3831C">
      <w:pPr>
        <w:spacing w:line="204" w:lineRule="auto"/>
        <w:ind w:firstLine="2314"/>
        <w:rPr>
          <w:rFonts w:hint="eastAsia" w:ascii="宋体" w:hAnsi="宋体" w:eastAsia="宋体" w:cs="宋体"/>
          <w:spacing w:val="-3"/>
          <w:sz w:val="30"/>
          <w:szCs w:val="30"/>
        </w:rPr>
      </w:pPr>
    </w:p>
    <w:p w14:paraId="0A4BCD85">
      <w:pPr>
        <w:spacing w:line="204" w:lineRule="auto"/>
        <w:rPr>
          <w:rFonts w:hint="eastAsia" w:ascii="宋体" w:hAnsi="宋体" w:eastAsia="宋体" w:cs="宋体"/>
          <w:spacing w:val="-3"/>
          <w:sz w:val="30"/>
          <w:szCs w:val="30"/>
        </w:rPr>
      </w:pPr>
    </w:p>
    <w:p w14:paraId="55C52431">
      <w:pPr>
        <w:spacing w:line="204" w:lineRule="auto"/>
        <w:jc w:val="center"/>
        <w:rPr>
          <w:rFonts w:hint="eastAsia" w:ascii="宋体" w:hAnsi="宋体" w:eastAsia="宋体" w:cs="宋体"/>
          <w:spacing w:val="-3"/>
          <w:sz w:val="30"/>
          <w:szCs w:val="30"/>
        </w:rPr>
      </w:pPr>
      <w:r>
        <w:rPr>
          <w:rFonts w:hint="eastAsia" w:ascii="宋体" w:hAnsi="宋体" w:eastAsia="宋体" w:cs="宋体"/>
          <w:spacing w:val="-3"/>
          <w:sz w:val="30"/>
          <w:szCs w:val="30"/>
        </w:rPr>
        <w:t>签订日期：</w:t>
      </w:r>
      <w:r>
        <w:rPr>
          <w:rFonts w:hint="eastAsia" w:ascii="宋体" w:hAnsi="宋体" w:eastAsia="宋体" w:cs="宋体"/>
          <w:spacing w:val="-3"/>
          <w:sz w:val="30"/>
          <w:szCs w:val="30"/>
          <w:lang w:val="en-US" w:eastAsia="zh-CN"/>
        </w:rPr>
        <w:t xml:space="preserve">     </w:t>
      </w:r>
      <w:r>
        <w:rPr>
          <w:rFonts w:hint="eastAsia" w:ascii="宋体" w:hAnsi="宋体" w:eastAsia="宋体" w:cs="宋体"/>
          <w:spacing w:val="-3"/>
          <w:sz w:val="30"/>
          <w:szCs w:val="30"/>
        </w:rPr>
        <w:t xml:space="preserve">年 </w:t>
      </w:r>
      <w:r>
        <w:rPr>
          <w:rFonts w:hint="eastAsia" w:ascii="宋体" w:hAnsi="宋体" w:eastAsia="宋体" w:cs="宋体"/>
          <w:spacing w:val="-3"/>
          <w:sz w:val="30"/>
          <w:szCs w:val="30"/>
          <w:lang w:val="en-US" w:eastAsia="zh-CN"/>
        </w:rPr>
        <w:t xml:space="preserve">   </w:t>
      </w:r>
      <w:r>
        <w:rPr>
          <w:rFonts w:hint="eastAsia" w:ascii="宋体" w:hAnsi="宋体" w:eastAsia="宋体" w:cs="宋体"/>
          <w:spacing w:val="-3"/>
          <w:sz w:val="30"/>
          <w:szCs w:val="30"/>
        </w:rPr>
        <w:t>月</w:t>
      </w:r>
    </w:p>
    <w:p w14:paraId="236F1E2B">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4"/>
          <w:szCs w:val="24"/>
        </w:rPr>
        <w:sectPr>
          <w:headerReference r:id="rId3" w:type="default"/>
          <w:pgSz w:w="11907" w:h="16839"/>
          <w:pgMar w:top="1276" w:right="974" w:bottom="720" w:left="1053" w:header="565" w:footer="404" w:gutter="0"/>
          <w:cols w:space="720" w:num="1"/>
        </w:sectPr>
      </w:pPr>
    </w:p>
    <w:p w14:paraId="208305FD">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甲乙双方依据《中华人民共和国民法典》、国家和国际标准规范等内容的要求，商定由乙方为甲方提供服务，双方都已理解并认可了本合同的所有内容，同意承担各自应承担的权利和义务，忠实地履行本合同。上述甲、乙双方经友好协商一致，就甲方委托乙方进行</w:t>
      </w:r>
      <w:r>
        <w:rPr>
          <w:rFonts w:hint="eastAsia" w:ascii="宋体" w:hAnsi="宋体" w:eastAsia="宋体" w:cs="宋体"/>
          <w:sz w:val="24"/>
          <w:szCs w:val="24"/>
          <w:lang w:eastAsia="zh-CN"/>
        </w:rPr>
        <w:t>温室气体排放审定/核查</w:t>
      </w:r>
      <w:r>
        <w:rPr>
          <w:rFonts w:hint="eastAsia" w:ascii="宋体" w:hAnsi="宋体" w:eastAsia="宋体" w:cs="宋体"/>
          <w:sz w:val="24"/>
          <w:szCs w:val="24"/>
        </w:rPr>
        <w:t>项目核查服务事宜达成以下协议</w:t>
      </w:r>
    </w:p>
    <w:p w14:paraId="34A05339">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1 </w:t>
      </w:r>
      <w:r>
        <w:rPr>
          <w:rFonts w:hint="eastAsia" w:ascii="宋体" w:hAnsi="宋体" w:eastAsia="宋体" w:cs="宋体"/>
          <w:b/>
          <w:bCs/>
          <w:sz w:val="28"/>
          <w:szCs w:val="28"/>
        </w:rPr>
        <w:t>内容和范围</w:t>
      </w:r>
    </w:p>
    <w:p w14:paraId="695D780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为了实现甲乙双方最大程度的资源整合、共同成长，甲、乙双方充分发挥各自优势，共同合作发展。通过双方的紧密合作，打造双赢、可持续发展服务、规划等领域战略合作伙伴关系。 </w:t>
      </w:r>
    </w:p>
    <w:p w14:paraId="487B985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甲方委托乙方提供</w:t>
      </w:r>
      <w:r>
        <w:rPr>
          <w:rFonts w:hint="eastAsia" w:ascii="宋体" w:hAnsi="宋体" w:eastAsia="宋体" w:cs="宋体"/>
          <w:sz w:val="24"/>
          <w:szCs w:val="24"/>
          <w:lang w:eastAsia="zh-CN"/>
        </w:rPr>
        <w:t>温室气体排放审定/核查</w:t>
      </w:r>
      <w:r>
        <w:rPr>
          <w:rFonts w:hint="eastAsia" w:ascii="宋体" w:hAnsi="宋体" w:eastAsia="宋体" w:cs="宋体"/>
          <w:sz w:val="24"/>
          <w:szCs w:val="24"/>
        </w:rPr>
        <w:t xml:space="preserve">项目核查服务： </w:t>
      </w:r>
    </w:p>
    <w:p w14:paraId="100B297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甲方要求乙方按照：</w:t>
      </w:r>
    </w:p>
    <w:p w14:paraId="038E876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 ISO</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14064-1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GB/T 32150</w:t>
      </w:r>
    </w:p>
    <w:p w14:paraId="026BEEF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 ISO</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14064-2</w:t>
      </w:r>
      <w:r>
        <w:rPr>
          <w:rFonts w:hint="eastAsia" w:ascii="宋体" w:hAnsi="宋体" w:eastAsia="宋体" w:cs="宋体"/>
          <w:sz w:val="24"/>
          <w:szCs w:val="24"/>
          <w:lang w:val="en-US" w:eastAsia="zh-CN"/>
        </w:rPr>
        <w:t xml:space="preserve">         </w:t>
      </w:r>
      <w:r>
        <w:rPr>
          <w:rFonts w:hint="eastAsia" w:ascii="宋体" w:hAnsi="宋体" w:eastAsia="宋体" w:cs="宋体"/>
          <w:sz w:val="24"/>
          <w:lang w:val="en-US" w:eastAsia="zh-CN"/>
        </w:rPr>
        <w:drawing>
          <wp:anchor distT="0" distB="0" distL="114300" distR="114300" simplePos="0" relativeHeight="251659264" behindDoc="0" locked="0" layoutInCell="1" allowOverlap="1">
            <wp:simplePos x="0" y="0"/>
            <wp:positionH relativeFrom="column">
              <wp:posOffset>-1260475</wp:posOffset>
            </wp:positionH>
            <wp:positionV relativeFrom="paragraph">
              <wp:posOffset>-2680335</wp:posOffset>
            </wp:positionV>
            <wp:extent cx="9617075" cy="7630160"/>
            <wp:effectExtent l="0" t="0" r="0" b="0"/>
            <wp:wrapNone/>
            <wp:docPr id="5" name="图片 5" descr="be5201de5b835995d9ec6a4d802062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e5201de5b835995d9ec6a4d802062b3"/>
                    <pic:cNvPicPr>
                      <a:picLocks noChangeAspect="1"/>
                    </pic:cNvPicPr>
                  </pic:nvPicPr>
                  <pic:blipFill>
                    <a:blip r:embed="rId7">
                      <a:alphaModFix amt="40000"/>
                    </a:blip>
                    <a:stretch>
                      <a:fillRect/>
                    </a:stretch>
                  </pic:blipFill>
                  <pic:spPr>
                    <a:xfrm>
                      <a:off x="0" y="0"/>
                      <a:ext cx="9617075" cy="7630160"/>
                    </a:xfrm>
                    <a:prstGeom prst="rect">
                      <a:avLst/>
                    </a:prstGeom>
                  </pic:spPr>
                </pic:pic>
              </a:graphicData>
            </a:graphic>
          </wp:anchor>
        </w:draw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GB/T 24067</w:t>
      </w:r>
    </w:p>
    <w:p w14:paraId="183BAF2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 ISO</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14064-3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□《碳排放权交易管理暂行办法》</w:t>
      </w:r>
    </w:p>
    <w:p w14:paraId="24358FF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 ISO 14067</w:t>
      </w:r>
    </w:p>
    <w:p w14:paraId="2AEDD75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 其它：</w:t>
      </w:r>
    </w:p>
    <w:p w14:paraId="32B38E8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eastAsia="zh-CN"/>
        </w:rPr>
        <w:t>乙方将委派技术人员为甲方提供温室气体排放审定/核查项目核查服务。</w:t>
      </w:r>
      <w:r>
        <w:rPr>
          <w:rFonts w:hint="eastAsia" w:ascii="宋体" w:hAnsi="宋体" w:eastAsia="宋体" w:cs="宋体"/>
          <w:sz w:val="24"/>
          <w:szCs w:val="24"/>
        </w:rPr>
        <w:t xml:space="preserve"> </w:t>
      </w:r>
    </w:p>
    <w:p w14:paraId="5E26EF7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类型：</w:t>
      </w:r>
    </w:p>
    <w:p w14:paraId="5CDA262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组织GHG声明核查    </w:t>
      </w:r>
    </w:p>
    <w:p w14:paraId="2C6EA1F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产品碳足迹核查      </w:t>
      </w:r>
    </w:p>
    <w:p w14:paraId="43DC431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环境声明验证                   </w:t>
      </w:r>
    </w:p>
    <w:p w14:paraId="2963155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其他：</w:t>
      </w:r>
    </w:p>
    <w:p w14:paraId="4B24065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目的：就温室气体声明的准确性以及声明是否符合标准得出结论。</w:t>
      </w:r>
    </w:p>
    <w:p w14:paraId="39EA04C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1.5</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服务范围：</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6"/>
      </w:tblGrid>
      <w:tr w14:paraId="4F388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6" w:type="dxa"/>
          </w:tcPr>
          <w:p w14:paraId="13E7867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eastAsia="zh-CN"/>
              </w:rPr>
            </w:pPr>
            <w:r>
              <w:rPr>
                <w:rFonts w:hint="eastAsia" w:ascii="宋体" w:hAnsi="宋体" w:eastAsia="宋体" w:cs="宋体"/>
                <w:sz w:val="24"/>
                <w:szCs w:val="24"/>
                <w:lang w:eastAsia="zh-CN"/>
              </w:rPr>
              <w:t>□ 组织</w:t>
            </w:r>
          </w:p>
        </w:tc>
      </w:tr>
      <w:tr w14:paraId="5C37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6" w:type="dxa"/>
          </w:tcPr>
          <w:p w14:paraId="60F326F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组织名称：</w:t>
            </w:r>
          </w:p>
          <w:p w14:paraId="3CB113D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排放边界(地址):</w:t>
            </w:r>
          </w:p>
          <w:p w14:paraId="18BABF8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时间边界：</w:t>
            </w:r>
          </w:p>
          <w:p w14:paraId="7538B52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核查区域和场所：</w:t>
            </w:r>
          </w:p>
          <w:p w14:paraId="40471B1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温室气体排放审定/核查</w:t>
            </w:r>
            <w:r>
              <w:rPr>
                <w:rFonts w:hint="eastAsia" w:ascii="宋体" w:hAnsi="宋体" w:eastAsia="宋体" w:cs="宋体"/>
                <w:sz w:val="24"/>
                <w:szCs w:val="24"/>
                <w:vertAlign w:val="baseline"/>
              </w:rPr>
              <w:t>活动所涉及的员工总人数：</w:t>
            </w:r>
          </w:p>
          <w:p w14:paraId="4CDD184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报告边界：类别1:直接温室气体排放</w:t>
            </w:r>
            <w:r>
              <w:rPr>
                <w:rFonts w:ascii="宋体" w:hAnsi="宋体" w:eastAsia="宋体" w:cs="宋体"/>
                <w:sz w:val="24"/>
                <w:szCs w:val="24"/>
              </w:rPr>
              <w:t>；</w:t>
            </w:r>
            <w:r>
              <w:rPr>
                <w:rFonts w:hint="eastAsia" w:ascii="宋体" w:hAnsi="宋体" w:eastAsia="宋体" w:cs="宋体"/>
                <w:sz w:val="24"/>
                <w:szCs w:val="24"/>
                <w:vertAlign w:val="baseline"/>
              </w:rPr>
              <w:t>类别2:输入能源的间接排放</w:t>
            </w:r>
            <w:r>
              <w:rPr>
                <w:rFonts w:ascii="宋体" w:hAnsi="宋体" w:eastAsia="宋体" w:cs="宋体"/>
                <w:sz w:val="24"/>
                <w:szCs w:val="24"/>
              </w:rPr>
              <w:t>；</w:t>
            </w:r>
            <w:r>
              <w:rPr>
                <w:rFonts w:hint="eastAsia" w:ascii="宋体" w:hAnsi="宋体" w:eastAsia="宋体" w:cs="宋体"/>
                <w:sz w:val="24"/>
                <w:szCs w:val="24"/>
                <w:vertAlign w:val="baseline"/>
              </w:rPr>
              <w:t>类别3:交通运输的间接排放</w:t>
            </w:r>
            <w:r>
              <w:rPr>
                <w:rFonts w:ascii="宋体" w:hAnsi="宋体" w:eastAsia="宋体" w:cs="宋体"/>
                <w:sz w:val="24"/>
                <w:szCs w:val="24"/>
              </w:rPr>
              <w:t>；</w:t>
            </w:r>
            <w:r>
              <w:rPr>
                <w:rFonts w:hint="eastAsia" w:ascii="宋体" w:hAnsi="宋体" w:eastAsia="宋体" w:cs="宋体"/>
                <w:sz w:val="24"/>
                <w:szCs w:val="24"/>
                <w:vertAlign w:val="baseline"/>
              </w:rPr>
              <w:t>类别4:组织使用的产品和服务的间接排放</w:t>
            </w:r>
            <w:r>
              <w:rPr>
                <w:rFonts w:ascii="宋体" w:hAnsi="宋体" w:eastAsia="宋体" w:cs="宋体"/>
                <w:sz w:val="24"/>
                <w:szCs w:val="24"/>
              </w:rPr>
              <w:t>；</w:t>
            </w:r>
            <w:r>
              <w:rPr>
                <w:rFonts w:hint="eastAsia" w:ascii="宋体" w:hAnsi="宋体" w:eastAsia="宋体" w:cs="宋体"/>
                <w:sz w:val="24"/>
                <w:szCs w:val="24"/>
                <w:vertAlign w:val="baseline"/>
              </w:rPr>
              <w:t>类别5:组织的产品使用过程相关的排放</w:t>
            </w:r>
            <w:r>
              <w:rPr>
                <w:rFonts w:ascii="宋体" w:hAnsi="宋体" w:eastAsia="宋体" w:cs="宋体"/>
                <w:sz w:val="24"/>
                <w:szCs w:val="24"/>
              </w:rPr>
              <w:t>；</w:t>
            </w:r>
            <w:r>
              <w:rPr>
                <w:rFonts w:hint="eastAsia" w:ascii="宋体" w:hAnsi="宋体" w:eastAsia="宋体" w:cs="宋体"/>
                <w:sz w:val="24"/>
                <w:szCs w:val="24"/>
                <w:vertAlign w:val="baseline"/>
              </w:rPr>
              <w:t>类别6:其他间接排放</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 xml:space="preserve"> </w:t>
            </w:r>
          </w:p>
          <w:p w14:paraId="71A1CA5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温室气体类型：二氧化碳(CO₂)、 甲烷(CH₄) 、氧化亚氮(N₂O) 、氢氟碳化物 (HFCs)、 全氟化合物(PFCs) 、六氟化硫(SF₆) 、三氟化氮(NF₃)</w:t>
            </w:r>
          </w:p>
        </w:tc>
      </w:tr>
      <w:tr w14:paraId="7D91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6" w:type="dxa"/>
          </w:tcPr>
          <w:p w14:paraId="72591C5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产品</w:t>
            </w:r>
          </w:p>
        </w:tc>
      </w:tr>
      <w:tr w14:paraId="3586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6" w:type="dxa"/>
          </w:tcPr>
          <w:p w14:paraId="695E76A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产品名称和型号规格：</w:t>
            </w:r>
          </w:p>
          <w:p w14:paraId="1C02101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制造商：</w:t>
            </w:r>
          </w:p>
          <w:p w14:paraId="4A35685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生产厂：</w:t>
            </w:r>
          </w:p>
          <w:p w14:paraId="1EAC55E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排放边界：□摇篮到大门□摇篮到坟墓</w:t>
            </w:r>
          </w:p>
          <w:p w14:paraId="28AE5CA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功能单位/声明单位：</w:t>
            </w:r>
          </w:p>
          <w:p w14:paraId="102CC89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时间边界：</w:t>
            </w:r>
          </w:p>
          <w:p w14:paraId="2C503D8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核查区域和场所：</w:t>
            </w:r>
          </w:p>
          <w:p w14:paraId="6DE22AA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碳排放活动所涉及的员工总人数：   人</w:t>
            </w:r>
          </w:p>
        </w:tc>
      </w:tr>
    </w:tbl>
    <w:p w14:paraId="207126F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(说明：上述范围根据核查对象填写。上述范围在后续核查过程中可能会发生变更，最终核查结果以核查和复核确认为准，当范围</w:t>
      </w:r>
      <w:r>
        <w:rPr>
          <w:rFonts w:hint="eastAsia" w:ascii="宋体" w:hAnsi="宋体" w:eastAsia="宋体" w:cs="宋体"/>
          <w:sz w:val="24"/>
          <w:lang w:val="en-US" w:eastAsia="zh-CN"/>
        </w:rPr>
        <w:drawing>
          <wp:anchor distT="0" distB="0" distL="114300" distR="114300" simplePos="0" relativeHeight="251661312" behindDoc="0" locked="0" layoutInCell="1" allowOverlap="1">
            <wp:simplePos x="0" y="0"/>
            <wp:positionH relativeFrom="column">
              <wp:posOffset>-1260475</wp:posOffset>
            </wp:positionH>
            <wp:positionV relativeFrom="paragraph">
              <wp:posOffset>-3015615</wp:posOffset>
            </wp:positionV>
            <wp:extent cx="9617075" cy="7630160"/>
            <wp:effectExtent l="0" t="0" r="0" b="0"/>
            <wp:wrapNone/>
            <wp:docPr id="6" name="图片 6" descr="be5201de5b835995d9ec6a4d802062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e5201de5b835995d9ec6a4d802062b3"/>
                    <pic:cNvPicPr>
                      <a:picLocks noChangeAspect="1"/>
                    </pic:cNvPicPr>
                  </pic:nvPicPr>
                  <pic:blipFill>
                    <a:blip r:embed="rId7">
                      <a:alphaModFix amt="40000"/>
                    </a:blip>
                    <a:stretch>
                      <a:fillRect/>
                    </a:stretch>
                  </pic:blipFill>
                  <pic:spPr>
                    <a:xfrm>
                      <a:off x="0" y="0"/>
                      <a:ext cx="9617075" cy="7630160"/>
                    </a:xfrm>
                    <a:prstGeom prst="rect">
                      <a:avLst/>
                    </a:prstGeom>
                  </pic:spPr>
                </pic:pic>
              </a:graphicData>
            </a:graphic>
          </wp:anchor>
        </w:drawing>
      </w:r>
      <w:r>
        <w:rPr>
          <w:rFonts w:hint="eastAsia" w:ascii="宋体" w:hAnsi="宋体" w:eastAsia="宋体" w:cs="宋体"/>
          <w:sz w:val="24"/>
          <w:szCs w:val="24"/>
        </w:rPr>
        <w:t>发生变化时，按实际确认的范围为准。产品碳足迹核查，如申请多产品</w:t>
      </w:r>
      <w:r>
        <w:rPr>
          <w:rFonts w:hint="eastAsia" w:ascii="宋体" w:hAnsi="宋体" w:eastAsia="宋体" w:cs="宋体"/>
          <w:sz w:val="24"/>
          <w:szCs w:val="24"/>
          <w:lang w:eastAsia="zh-CN"/>
        </w:rPr>
        <w:t>，</w:t>
      </w:r>
      <w:r>
        <w:rPr>
          <w:rFonts w:hint="eastAsia" w:ascii="宋体" w:hAnsi="宋体" w:eastAsia="宋体" w:cs="宋体"/>
          <w:sz w:val="24"/>
          <w:szCs w:val="24"/>
        </w:rPr>
        <w:t>请在1.9“其他特殊要求”项中增加描述。)</w:t>
      </w:r>
    </w:p>
    <w:p w14:paraId="5832A4A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实质性阈值：</w:t>
      </w:r>
    </w:p>
    <w:p w14:paraId="37E44C2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 xml:space="preserve">1.7 保证等级： </w:t>
      </w:r>
      <w:r>
        <w:rPr>
          <w:rFonts w:hint="eastAsia" w:ascii="宋体" w:hAnsi="宋体" w:eastAsia="宋体" w:cs="宋体"/>
          <w:sz w:val="24"/>
          <w:szCs w:val="24"/>
        </w:rPr>
        <w:t xml:space="preserve">□完全保证          </w:t>
      </w:r>
      <w:r>
        <w:rPr>
          <w:rFonts w:hint="eastAsia" w:ascii="宋体" w:hAnsi="宋体" w:eastAsia="宋体" w:cs="宋体"/>
          <w:sz w:val="24"/>
          <w:szCs w:val="24"/>
          <w:lang w:eastAsia="zh-CN"/>
        </w:rPr>
        <w:t>□</w:t>
      </w:r>
      <w:r>
        <w:rPr>
          <w:rFonts w:hint="eastAsia" w:ascii="宋体" w:hAnsi="宋体" w:eastAsia="宋体" w:cs="宋体"/>
          <w:sz w:val="24"/>
          <w:szCs w:val="24"/>
        </w:rPr>
        <w:t>合理保证           □有限保证</w:t>
      </w:r>
    </w:p>
    <w:p w14:paraId="41D23AB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温室气体排放审定/核查</w:t>
      </w:r>
      <w:r>
        <w:rPr>
          <w:rFonts w:hint="eastAsia" w:ascii="宋体" w:hAnsi="宋体" w:eastAsia="宋体" w:cs="宋体"/>
          <w:sz w:val="24"/>
          <w:szCs w:val="24"/>
        </w:rPr>
        <w:t>项目核查服务方式：乙方应进行公平、公正、有效的核查活动并对核查结果承担相关责任；甲方提供必要的项目资料和支持条件；甲方提供的有关项目资料如有不实，后果由甲方承担责任。</w:t>
      </w:r>
    </w:p>
    <w:p w14:paraId="4761D55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1.9其他特殊要求：</w:t>
      </w:r>
    </w:p>
    <w:p w14:paraId="4579791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 费用以及支付方式</w:t>
      </w:r>
    </w:p>
    <w:p w14:paraId="6495321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 技术服务费用</w:t>
      </w:r>
    </w:p>
    <w:p w14:paraId="65512AE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甲乙双方确定如下技术服务费用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7513"/>
        <w:gridCol w:w="1524"/>
      </w:tblGrid>
      <w:tr w14:paraId="155B2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07B69B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序号</w:t>
            </w:r>
          </w:p>
        </w:tc>
        <w:tc>
          <w:tcPr>
            <w:tcW w:w="7513" w:type="dxa"/>
            <w:vAlign w:val="center"/>
          </w:tcPr>
          <w:p w14:paraId="37394EB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项目名称</w:t>
            </w:r>
          </w:p>
        </w:tc>
        <w:tc>
          <w:tcPr>
            <w:tcW w:w="1524" w:type="dxa"/>
            <w:vAlign w:val="center"/>
          </w:tcPr>
          <w:p w14:paraId="725F0F9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项目费用</w:t>
            </w:r>
          </w:p>
          <w:p w14:paraId="650849A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（元）</w:t>
            </w:r>
          </w:p>
        </w:tc>
      </w:tr>
      <w:tr w14:paraId="5494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694E7B0">
            <w:pPr>
              <w:keepNext w:val="0"/>
              <w:keepLines w:val="0"/>
              <w:pageBreakBefore w:val="0"/>
              <w:widowControl/>
              <w:kinsoku w:val="0"/>
              <w:wordWrap/>
              <w:overflowPunct/>
              <w:topLinePunct w:val="0"/>
              <w:autoSpaceDE w:val="0"/>
              <w:autoSpaceDN w:val="0"/>
              <w:bidi w:val="0"/>
              <w:adjustRightInd w:val="0"/>
              <w:snapToGrid w:val="0"/>
              <w:spacing w:before="0" w:beforeLines="25" w:after="0" w:afterLines="25" w:line="24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7513" w:type="dxa"/>
            <w:vAlign w:val="center"/>
          </w:tcPr>
          <w:p w14:paraId="48194DD7">
            <w:pPr>
              <w:keepNext w:val="0"/>
              <w:keepLines w:val="0"/>
              <w:pageBreakBefore w:val="0"/>
              <w:widowControl/>
              <w:kinsoku w:val="0"/>
              <w:wordWrap/>
              <w:overflowPunct/>
              <w:topLinePunct w:val="0"/>
              <w:autoSpaceDE w:val="0"/>
              <w:autoSpaceDN w:val="0"/>
              <w:bidi w:val="0"/>
              <w:adjustRightInd w:val="0"/>
              <w:snapToGrid w:val="0"/>
              <w:spacing w:before="0" w:beforeLines="25" w:after="0" w:afterLines="25" w:line="240" w:lineRule="auto"/>
              <w:ind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碳排放核查服务</w:t>
            </w:r>
          </w:p>
        </w:tc>
        <w:tc>
          <w:tcPr>
            <w:tcW w:w="1524" w:type="dxa"/>
            <w:vAlign w:val="center"/>
          </w:tcPr>
          <w:p w14:paraId="5D7E7448">
            <w:pPr>
              <w:keepNext w:val="0"/>
              <w:keepLines w:val="0"/>
              <w:pageBreakBefore w:val="0"/>
              <w:widowControl/>
              <w:kinsoku w:val="0"/>
              <w:wordWrap/>
              <w:overflowPunct/>
              <w:topLinePunct w:val="0"/>
              <w:autoSpaceDE w:val="0"/>
              <w:autoSpaceDN w:val="0"/>
              <w:bidi w:val="0"/>
              <w:adjustRightInd w:val="0"/>
              <w:snapToGrid w:val="0"/>
              <w:spacing w:before="0" w:beforeLines="25" w:after="0" w:afterLines="25" w:line="240" w:lineRule="auto"/>
              <w:ind w:firstLine="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10000</w:t>
            </w:r>
          </w:p>
        </w:tc>
      </w:tr>
      <w:tr w14:paraId="15C3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46A5A9A">
            <w:pPr>
              <w:keepNext w:val="0"/>
              <w:keepLines w:val="0"/>
              <w:pageBreakBefore w:val="0"/>
              <w:widowControl/>
              <w:kinsoku w:val="0"/>
              <w:wordWrap/>
              <w:overflowPunct/>
              <w:topLinePunct w:val="0"/>
              <w:autoSpaceDE w:val="0"/>
              <w:autoSpaceDN w:val="0"/>
              <w:bidi w:val="0"/>
              <w:adjustRightInd w:val="0"/>
              <w:snapToGrid w:val="0"/>
              <w:spacing w:before="0" w:beforeLines="25" w:after="0" w:afterLines="25" w:line="24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7513" w:type="dxa"/>
            <w:vAlign w:val="center"/>
          </w:tcPr>
          <w:p w14:paraId="651487ED">
            <w:pPr>
              <w:keepNext w:val="0"/>
              <w:keepLines w:val="0"/>
              <w:pageBreakBefore w:val="0"/>
              <w:widowControl/>
              <w:kinsoku w:val="0"/>
              <w:wordWrap/>
              <w:overflowPunct/>
              <w:topLinePunct w:val="0"/>
              <w:autoSpaceDE w:val="0"/>
              <w:autoSpaceDN w:val="0"/>
              <w:bidi w:val="0"/>
              <w:adjustRightInd w:val="0"/>
              <w:snapToGrid w:val="0"/>
              <w:spacing w:before="0" w:beforeLines="25" w:after="0" w:afterLines="25" w:line="240" w:lineRule="auto"/>
              <w:ind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差旅</w:t>
            </w:r>
          </w:p>
        </w:tc>
        <w:tc>
          <w:tcPr>
            <w:tcW w:w="1524" w:type="dxa"/>
            <w:vAlign w:val="center"/>
          </w:tcPr>
          <w:p w14:paraId="1C20B17D">
            <w:pPr>
              <w:keepNext w:val="0"/>
              <w:keepLines w:val="0"/>
              <w:pageBreakBefore w:val="0"/>
              <w:widowControl/>
              <w:kinsoku w:val="0"/>
              <w:wordWrap/>
              <w:overflowPunct/>
              <w:topLinePunct w:val="0"/>
              <w:autoSpaceDE w:val="0"/>
              <w:autoSpaceDN w:val="0"/>
              <w:bidi w:val="0"/>
              <w:adjustRightInd w:val="0"/>
              <w:snapToGrid w:val="0"/>
              <w:spacing w:before="0" w:beforeLines="25" w:after="0" w:afterLines="25" w:line="240" w:lineRule="auto"/>
              <w:ind w:firstLine="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实报实销</w:t>
            </w:r>
          </w:p>
        </w:tc>
      </w:tr>
      <w:tr w14:paraId="5074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3"/>
            <w:vAlign w:val="center"/>
          </w:tcPr>
          <w:p w14:paraId="28732E38">
            <w:pPr>
              <w:keepNext w:val="0"/>
              <w:keepLines w:val="0"/>
              <w:pageBreakBefore w:val="0"/>
              <w:widowControl/>
              <w:kinsoku w:val="0"/>
              <w:wordWrap/>
              <w:overflowPunct/>
              <w:topLinePunct w:val="0"/>
              <w:autoSpaceDE w:val="0"/>
              <w:autoSpaceDN w:val="0"/>
              <w:bidi w:val="0"/>
              <w:adjustRightInd w:val="0"/>
              <w:snapToGrid w:val="0"/>
              <w:spacing w:before="0" w:beforeLines="25" w:after="0" w:afterLines="25" w:line="24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费用合计：¥</w:t>
            </w:r>
            <w:r>
              <w:rPr>
                <w:rFonts w:hint="eastAsia" w:ascii="宋体" w:hAnsi="宋体" w:eastAsia="宋体" w:cs="宋体"/>
                <w:sz w:val="24"/>
                <w:szCs w:val="24"/>
                <w:lang w:val="en-US" w:eastAsia="zh-CN"/>
              </w:rPr>
              <w:t>10000</w:t>
            </w:r>
            <w:r>
              <w:rPr>
                <w:rFonts w:hint="eastAsia" w:ascii="宋体" w:hAnsi="宋体" w:eastAsia="宋体" w:cs="宋体"/>
                <w:sz w:val="24"/>
                <w:szCs w:val="24"/>
              </w:rPr>
              <w:t>元 ；（人民币大写：壹万元整）</w:t>
            </w:r>
          </w:p>
        </w:tc>
      </w:tr>
      <w:tr w14:paraId="51CB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3"/>
            <w:vAlign w:val="center"/>
          </w:tcPr>
          <w:p w14:paraId="707E7FFF">
            <w:pPr>
              <w:keepNext w:val="0"/>
              <w:keepLines w:val="0"/>
              <w:pageBreakBefore w:val="0"/>
              <w:widowControl/>
              <w:kinsoku w:val="0"/>
              <w:wordWrap/>
              <w:overflowPunct/>
              <w:topLinePunct w:val="0"/>
              <w:autoSpaceDE w:val="0"/>
              <w:autoSpaceDN w:val="0"/>
              <w:bidi w:val="0"/>
              <w:adjustRightInd w:val="0"/>
              <w:snapToGrid w:val="0"/>
              <w:spacing w:before="0" w:beforeLines="25" w:after="0" w:afterLines="25" w:line="24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技术服务组成员差旅费：交通与食宿由甲方承担</w:t>
            </w:r>
          </w:p>
        </w:tc>
      </w:tr>
    </w:tbl>
    <w:p w14:paraId="1B6C8CA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 项目成果交付时间</w:t>
      </w:r>
    </w:p>
    <w:p w14:paraId="0E3D1F3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完成现场核查，获取甲方提供的所有报告所需要的信息和数据后，</w:t>
      </w:r>
      <w:r>
        <w:rPr>
          <w:rFonts w:hint="eastAsia" w:ascii="宋体" w:hAnsi="宋体" w:eastAsia="宋体" w:cs="宋体"/>
          <w:sz w:val="24"/>
          <w:szCs w:val="24"/>
          <w:u w:val="single"/>
          <w:lang w:val="en-US" w:eastAsia="zh-CN"/>
        </w:rPr>
        <w:t>90</w:t>
      </w:r>
      <w:r>
        <w:rPr>
          <w:rFonts w:hint="eastAsia" w:ascii="宋体" w:hAnsi="宋体" w:eastAsia="宋体" w:cs="宋体"/>
          <w:sz w:val="24"/>
          <w:szCs w:val="24"/>
          <w:lang w:val="en-US" w:eastAsia="zh-CN"/>
        </w:rPr>
        <w:t>个日历日内出具电子版盖章报告和纸质版（以邮寄日期为准）。</w:t>
      </w:r>
    </w:p>
    <w:p w14:paraId="15B944F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 支付方式</w:t>
      </w:r>
    </w:p>
    <w:p w14:paraId="05C5792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■甲方于合同签订后，项目实施前一周内将技术服务费用全额支付给乙方，即¥</w:t>
      </w:r>
      <w:r>
        <w:rPr>
          <w:rFonts w:hint="eastAsia" w:ascii="宋体" w:hAnsi="宋体" w:eastAsia="宋体" w:cs="宋体"/>
          <w:sz w:val="24"/>
          <w:szCs w:val="24"/>
          <w:u w:val="single"/>
          <w:lang w:val="en-US" w:eastAsia="zh-CN"/>
        </w:rPr>
        <w:t>10000</w:t>
      </w:r>
      <w:r>
        <w:rPr>
          <w:rFonts w:hint="eastAsia" w:ascii="宋体" w:hAnsi="宋体" w:eastAsia="宋体" w:cs="宋体"/>
          <w:sz w:val="24"/>
          <w:szCs w:val="24"/>
          <w:lang w:val="en-US" w:eastAsia="zh-CN"/>
        </w:rPr>
        <w:t>元整（人民币大写：</w:t>
      </w:r>
      <w:r>
        <w:rPr>
          <w:rFonts w:hint="eastAsia" w:ascii="宋体" w:hAnsi="宋体" w:eastAsia="宋体" w:cs="宋体"/>
          <w:sz w:val="24"/>
          <w:szCs w:val="24"/>
          <w:u w:val="single"/>
          <w:lang w:val="en-US" w:eastAsia="zh-CN"/>
        </w:rPr>
        <w:t xml:space="preserve"> 壹万元整</w:t>
      </w:r>
      <w:r>
        <w:rPr>
          <w:rFonts w:hint="eastAsia" w:ascii="宋体" w:hAnsi="宋体" w:eastAsia="宋体" w:cs="宋体"/>
          <w:sz w:val="24"/>
          <w:szCs w:val="24"/>
          <w:lang w:val="en-US" w:eastAsia="zh-CN"/>
        </w:rPr>
        <w:t>）。</w:t>
      </w:r>
    </w:p>
    <w:p w14:paraId="5B479C5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■乙方收到全部款项后开具</w:t>
      </w:r>
      <w:r>
        <w:rPr>
          <w:rFonts w:hint="eastAsia" w:ascii="宋体" w:hAnsi="宋体" w:eastAsia="宋体" w:cs="宋体"/>
          <w:sz w:val="24"/>
          <w:szCs w:val="24"/>
          <w:u w:val="single"/>
          <w:lang w:val="en-US" w:eastAsia="zh-CN"/>
        </w:rPr>
        <w:t>普通发票</w:t>
      </w:r>
      <w:r>
        <w:rPr>
          <w:rFonts w:hint="eastAsia" w:ascii="宋体" w:hAnsi="宋体" w:eastAsia="宋体" w:cs="宋体"/>
          <w:sz w:val="24"/>
          <w:szCs w:val="24"/>
          <w:lang w:val="en-US" w:eastAsia="zh-CN"/>
        </w:rPr>
        <w:t>。</w:t>
      </w:r>
    </w:p>
    <w:p w14:paraId="3B1D541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甲方可通过现金或银行转账进行支付，银行转账时应按本合同提供的开户行及账号进行支付，账号信息如下：</w:t>
      </w:r>
    </w:p>
    <w:p w14:paraId="277A003B">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开户名称： 中标信认证（江苏）有限公司</w:t>
      </w:r>
    </w:p>
    <w:p w14:paraId="251C8EF6">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帐    号： 1701210000002723</w:t>
      </w:r>
    </w:p>
    <w:p w14:paraId="199596C3">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开户银行： 南京银行股份有限公司淮安分行</w:t>
      </w:r>
    </w:p>
    <w:p w14:paraId="3404723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甲方支付后，向乙方提供支付凭证，以便确认到账并及时开具发票。</w:t>
      </w:r>
    </w:p>
    <w:p w14:paraId="5E8B5E11">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 核查时间和交付结果</w:t>
      </w:r>
    </w:p>
    <w:p w14:paraId="101F403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本次温室气体排放审定/核查服务时间为合同签订日期至2025年12月31日。</w:t>
      </w:r>
    </w:p>
    <w:p w14:paraId="74F5F6D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双方约定正式核查时间以双方确定的时间为准。核查需实施一、二阶段审核，一阶段为初始评审，主要包括战略分析和风险评估；二阶段为现场核查取证。</w:t>
      </w:r>
    </w:p>
    <w:p w14:paraId="1CF4616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核查结束由乙方签发核查声明，核查声</w:t>
      </w:r>
      <w:r>
        <w:rPr>
          <w:rFonts w:hint="eastAsia" w:ascii="宋体" w:hAnsi="宋体" w:eastAsia="宋体" w:cs="宋体"/>
          <w:sz w:val="24"/>
          <w:lang w:val="en-US" w:eastAsia="zh-CN"/>
        </w:rPr>
        <w:drawing>
          <wp:anchor distT="0" distB="0" distL="114300" distR="114300" simplePos="0" relativeHeight="251662336" behindDoc="0" locked="0" layoutInCell="1" allowOverlap="1">
            <wp:simplePos x="0" y="0"/>
            <wp:positionH relativeFrom="column">
              <wp:posOffset>-1260475</wp:posOffset>
            </wp:positionH>
            <wp:positionV relativeFrom="paragraph">
              <wp:posOffset>-3964940</wp:posOffset>
            </wp:positionV>
            <wp:extent cx="9617075" cy="7630160"/>
            <wp:effectExtent l="0" t="0" r="0" b="0"/>
            <wp:wrapNone/>
            <wp:docPr id="7" name="图片 7" descr="be5201de5b835995d9ec6a4d802062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e5201de5b835995d9ec6a4d802062b3"/>
                    <pic:cNvPicPr>
                      <a:picLocks noChangeAspect="1"/>
                    </pic:cNvPicPr>
                  </pic:nvPicPr>
                  <pic:blipFill>
                    <a:blip r:embed="rId7">
                      <a:alphaModFix amt="40000"/>
                    </a:blip>
                    <a:stretch>
                      <a:fillRect/>
                    </a:stretch>
                  </pic:blipFill>
                  <pic:spPr>
                    <a:xfrm>
                      <a:off x="0" y="0"/>
                      <a:ext cx="9617075" cy="7630160"/>
                    </a:xfrm>
                    <a:prstGeom prst="rect">
                      <a:avLst/>
                    </a:prstGeom>
                  </pic:spPr>
                </pic:pic>
              </a:graphicData>
            </a:graphic>
          </wp:anchor>
        </w:drawing>
      </w:r>
      <w:r>
        <w:rPr>
          <w:rFonts w:hint="eastAsia" w:ascii="宋体" w:hAnsi="宋体" w:eastAsia="宋体" w:cs="宋体"/>
          <w:sz w:val="24"/>
          <w:szCs w:val="24"/>
          <w:lang w:val="en-US" w:eastAsia="zh-CN"/>
        </w:rPr>
        <w:t>明的形式一般包括核查报告、陈述。如甲方有其他形式要求，在“1.9其他特殊要求”中注明。</w:t>
      </w:r>
    </w:p>
    <w:p w14:paraId="04CF491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 双方权利与义务</w:t>
      </w:r>
    </w:p>
    <w:p w14:paraId="67CEE8B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 甲方的权利和义务</w:t>
      </w:r>
    </w:p>
    <w:p w14:paraId="2674E12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4.1.1 甲方的权利</w:t>
      </w:r>
    </w:p>
    <w:p w14:paraId="6241A76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(1)有权宣传获得核查声明的结果；</w:t>
      </w:r>
    </w:p>
    <w:p w14:paraId="591D698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(2)享有由于获得核查声明以及使用证书及标志取得的经济利益；</w:t>
      </w:r>
    </w:p>
    <w:p w14:paraId="7F860D3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(3)甲方对乙方关于拒绝签发核查声明的决定有权提出申诉，有权对不规范的核查行为提出投诉；</w:t>
      </w:r>
    </w:p>
    <w:p w14:paraId="2AC9B1E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(4)甲方有权提出撤销在乙方官网及相关合作平台披露核查结果的申请；</w:t>
      </w:r>
    </w:p>
    <w:p w14:paraId="43DD117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(5)在乙方根本违约时，有权解除合同，要求乙方赔偿损失或者违约金。</w:t>
      </w:r>
    </w:p>
    <w:p w14:paraId="206612E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4.1.2 甲方的义务</w:t>
      </w:r>
    </w:p>
    <w:p w14:paraId="4375174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(1)甲方应及时准确的向乙方提供核查申请资料，实事求是填写《温室气体排放审定/核查申请书》。若甲方延迟缴纳款项、递交材料等，由此迟延造成的不利后果由甲方承担。</w:t>
      </w:r>
    </w:p>
    <w:p w14:paraId="66F2562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(2)甲方应向乙方提供温室气体排放审定/核查报告或清单及其它核查所需要的文件和资料证据，证据应该是真实的，如由于甲方提供的虚假材料导致的一切后果由甲方承担。</w:t>
      </w:r>
    </w:p>
    <w:p w14:paraId="1E89655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(3)甲方所提供的资料、数据、样品、材料或者工作条件不符合合同约定的，应当在双方约定的期限内补充、修改或更换；</w:t>
      </w:r>
    </w:p>
    <w:p w14:paraId="20E2ADF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(4)甲方需为现场核查组提供必要的交通、食宿、通讯、核查期间办公场所及其它必要的工作条件。适用时，为安排观察员提供条件。</w:t>
      </w:r>
    </w:p>
    <w:p w14:paraId="0EEFAF3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甲方有义务遵守温室气体排放审定/核查相关法律法规，协助温室气体排放审定/核查监管部门的监督检查，对温室气体排放审定/核查有关事项的询问和调查如实提供相关材料和信息。由国家生态环境部及地方生态环境主管部门、国家认监委及地方认证监管部门、认可机构和认证机构(乙方)组织的各类见证审核、稽查及抽查，甲方应予以全面配合；</w:t>
      </w:r>
    </w:p>
    <w:p w14:paraId="413D711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(6)核查声明被撤销后，立即停止使用核查报告/证书/标志，并向乙方退还核查报告和证书。</w:t>
      </w:r>
    </w:p>
    <w:p w14:paraId="766C753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(7)按照约定接受乙方的核查声明，并支付报酬；</w:t>
      </w:r>
    </w:p>
    <w:p w14:paraId="2D3C4C4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(8)甲方应当在合同约定的期限范围内履行保守秘密的义务。</w:t>
      </w:r>
    </w:p>
    <w:p w14:paraId="71478F8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4.1.3 甲方的承诺</w:t>
      </w:r>
    </w:p>
    <w:p w14:paraId="5BE69A2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(1)甲方承诺遵守温室气体排放审定/核查和合格评定相关法律法规，协助温室气体排放审定/核查监管部门的监督检查，对有关事项的询问和调查如实提供相关材料和信息；</w:t>
      </w:r>
    </w:p>
    <w:p w14:paraId="3C61572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(2)甲方承诺获得核查声明后，遵守乙方制定的温室气体排放审定/核查规则文件，正确使用核查报告、证书、标志和有关信息。不擅自利用核查声明和相关文字、符号误导公众。</w:t>
      </w:r>
    </w:p>
    <w:p w14:paraId="1165D90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(3)出现重大事故时，甲方应于24小时内通知乙方，乙方在5个工作日内在披露平台撤销核查声明。甲方在核查声明被撤销后24小</w:t>
      </w:r>
      <w:r>
        <w:rPr>
          <w:rFonts w:hint="eastAsia" w:ascii="宋体" w:hAnsi="宋体" w:eastAsia="宋体" w:cs="宋体"/>
          <w:sz w:val="24"/>
          <w:lang w:val="en-US" w:eastAsia="zh-CN"/>
        </w:rPr>
        <w:drawing>
          <wp:anchor distT="0" distB="0" distL="114300" distR="114300" simplePos="0" relativeHeight="251663360" behindDoc="0" locked="0" layoutInCell="1" allowOverlap="1">
            <wp:simplePos x="0" y="0"/>
            <wp:positionH relativeFrom="column">
              <wp:posOffset>-1260475</wp:posOffset>
            </wp:positionH>
            <wp:positionV relativeFrom="paragraph">
              <wp:posOffset>-4471670</wp:posOffset>
            </wp:positionV>
            <wp:extent cx="9617075" cy="7630160"/>
            <wp:effectExtent l="0" t="0" r="0" b="0"/>
            <wp:wrapNone/>
            <wp:docPr id="8" name="图片 8" descr="be5201de5b835995d9ec6a4d802062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be5201de5b835995d9ec6a4d802062b3"/>
                    <pic:cNvPicPr>
                      <a:picLocks noChangeAspect="1"/>
                    </pic:cNvPicPr>
                  </pic:nvPicPr>
                  <pic:blipFill>
                    <a:blip r:embed="rId7">
                      <a:alphaModFix amt="40000"/>
                    </a:blip>
                    <a:stretch>
                      <a:fillRect/>
                    </a:stretch>
                  </pic:blipFill>
                  <pic:spPr>
                    <a:xfrm>
                      <a:off x="0" y="0"/>
                      <a:ext cx="9617075" cy="7630160"/>
                    </a:xfrm>
                    <a:prstGeom prst="rect">
                      <a:avLst/>
                    </a:prstGeom>
                  </pic:spPr>
                </pic:pic>
              </a:graphicData>
            </a:graphic>
          </wp:anchor>
        </w:drawing>
      </w:r>
      <w:r>
        <w:rPr>
          <w:rFonts w:hint="eastAsia" w:ascii="宋体" w:hAnsi="宋体" w:eastAsia="宋体" w:cs="宋体"/>
          <w:sz w:val="24"/>
          <w:szCs w:val="24"/>
          <w:lang w:val="en-US" w:eastAsia="zh-CN"/>
        </w:rPr>
        <w:t>时内停止使用核查报告、证书和标志，并向乙方退还核查声明(包括核查报告和证书),同时停止有关内容的广告和宣传。</w:t>
      </w:r>
    </w:p>
    <w:p w14:paraId="4218F93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(4)甲方申请注销核查声明时，应提前5个工作日书面通知乙方，同时将证书原件交还乙方，办理注销手续。</w:t>
      </w:r>
    </w:p>
    <w:p w14:paraId="48D5D08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 乙方的权利和义务</w:t>
      </w:r>
    </w:p>
    <w:p w14:paraId="2042833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4.2.1 乙方的权利</w:t>
      </w:r>
    </w:p>
    <w:p w14:paraId="145BDCE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(1)通过核查证明甲方不满足核查要求的，乙方有权不签发核查声明、不允许甲方使用中标信认证的认证标志，但应收取已经发生的核查活动费用。</w:t>
      </w:r>
    </w:p>
    <w:p w14:paraId="3B366D5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(2)甲方获得乙方签发的核查声明后，如不按时支付核查费及核查人员的差旅费用，乙方有权撤销甲方的核查声明，并要求甲方停止使用并退还相关的核查报告、证书和标志。</w:t>
      </w:r>
    </w:p>
    <w:p w14:paraId="40455BE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(3)依据法律要求或认可机构合同要求，向监管部门或认可机构提供甲方信息。</w:t>
      </w:r>
    </w:p>
    <w:p w14:paraId="746E36B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4.2.2 乙方的义务</w:t>
      </w:r>
    </w:p>
    <w:p w14:paraId="679DBAD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(1)根据核查方案，在委托的核查范围内，公正、客观、科学地开展核查活动。</w:t>
      </w:r>
    </w:p>
    <w:p w14:paraId="7242F23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(2)派遣适宜的核查人员，并征得甲方同意。</w:t>
      </w:r>
    </w:p>
    <w:p w14:paraId="6FF3149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通过乙方现场核查，技术评定部复核评审，确认甲方符合温室气体排放审定/核查标准、适用法律法规及乙方制定的核查规则文件等要求后，中标信认证向甲方签发核查声明并告知其核查报告、证书和标志的使用规则。</w:t>
      </w:r>
    </w:p>
    <w:p w14:paraId="74FE3E9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(4)核查要求发生更改时，通知甲方。</w:t>
      </w:r>
    </w:p>
    <w:p w14:paraId="2A7048A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(5)乙方发现甲方提供的资料、数据、样品、材料或者工作条件不符合签发核查声明的，及时通知甲方。</w:t>
      </w:r>
    </w:p>
    <w:p w14:paraId="482A700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(6)甲方获得中标信认证签发的核查声明后，乙方受理第三方对甲方有关投诉，须通报甲方，与甲方协商解决，确属甲方责任的，由甲方负责解决。</w:t>
      </w:r>
    </w:p>
    <w:p w14:paraId="0BD21BF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5 保密条款</w:t>
      </w:r>
    </w:p>
    <w:p w14:paraId="6C33ADD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合同双方应切实履行保密义务，除法律法规要求外，未经对方书面许可，双方均不得向第三方泄露合同内容、与合同有关的费用、因签署本合同而获悉的对方的专有信息及其他保密信息以任何方式泄露给第三方。</w:t>
      </w:r>
    </w:p>
    <w:p w14:paraId="08A46ABE">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6 违约责任</w:t>
      </w:r>
    </w:p>
    <w:p w14:paraId="022613D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 乙方承担在温室气体排放审定/核查活动中，由于公正性和有效性管理失控而产生的任何合格评定风险及由此带来的任何信誉、经济损失。</w:t>
      </w:r>
      <w:r>
        <w:rPr>
          <w:rFonts w:hint="eastAsia" w:ascii="宋体" w:hAnsi="宋体" w:eastAsia="宋体" w:cs="宋体"/>
          <w:sz w:val="24"/>
          <w:lang w:val="en-US" w:eastAsia="zh-CN"/>
        </w:rPr>
        <w:drawing>
          <wp:anchor distT="0" distB="0" distL="114300" distR="114300" simplePos="0" relativeHeight="251664384" behindDoc="0" locked="0" layoutInCell="1" allowOverlap="1">
            <wp:simplePos x="0" y="0"/>
            <wp:positionH relativeFrom="column">
              <wp:posOffset>-1260475</wp:posOffset>
            </wp:positionH>
            <wp:positionV relativeFrom="paragraph">
              <wp:posOffset>-4051300</wp:posOffset>
            </wp:positionV>
            <wp:extent cx="9617075" cy="7630160"/>
            <wp:effectExtent l="0" t="0" r="0" b="0"/>
            <wp:wrapNone/>
            <wp:docPr id="9" name="图片 9" descr="be5201de5b835995d9ec6a4d802062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e5201de5b835995d9ec6a4d802062b3"/>
                    <pic:cNvPicPr>
                      <a:picLocks noChangeAspect="1"/>
                    </pic:cNvPicPr>
                  </pic:nvPicPr>
                  <pic:blipFill>
                    <a:blip r:embed="rId7">
                      <a:alphaModFix amt="40000"/>
                    </a:blip>
                    <a:stretch>
                      <a:fillRect/>
                    </a:stretch>
                  </pic:blipFill>
                  <pic:spPr>
                    <a:xfrm>
                      <a:off x="0" y="0"/>
                      <a:ext cx="9617075" cy="7630160"/>
                    </a:xfrm>
                    <a:prstGeom prst="rect">
                      <a:avLst/>
                    </a:prstGeom>
                  </pic:spPr>
                </pic:pic>
              </a:graphicData>
            </a:graphic>
          </wp:anchor>
        </w:drawing>
      </w:r>
    </w:p>
    <w:p w14:paraId="01A66A5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 甲方在乙方签发的核查声明被撤销或注销后，拒不退还核查报告和证书的，视为违约，应当承担支付乙方壹万元人民币的违约金；仍然继续使用被撤销或注销后的核查声明，除承担相应的法律责任外，应当承担支付乙方贰万元人民币的违约金。</w:t>
      </w:r>
    </w:p>
    <w:p w14:paraId="406B147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 甲方没有退还核查声明的相关书面凭证，视为『不退还核查声明』;甲方在核查声明被撤销或注销后仍然在相关网站上公布核查报告、证书，在相关宣传资料中使用核查报告、证书，视为『仍然继续使用被撤销或注销后的核查声明』。</w:t>
      </w:r>
    </w:p>
    <w:p w14:paraId="1E9821C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6.4 甲方应向乙方如实提供温室气体排放审定/核查申请资料，实事求是填写《温室气体排放审定/核查申请书》。如甲方违反诚信原则向乙方提供虚假信息/资料，误导乙方核查员，致使乙方被国家生态环境部或地方生态环境主管部门、国家认监委或地方认证监管部门等处罚，甲方承担由此而发生的全部责任以及必须承担乙方为此而支付的各项全部费用。</w:t>
      </w:r>
    </w:p>
    <w:p w14:paraId="6FD559F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6.5 若因甲方未能履行本合同规定的义务而造成甲方未能取得乙方签发的核查声明，甲方承担由此而发生的全部责任，乙方对此不负任何责任；甲方上述行为给乙方造成损失的，甲方赔偿乙方因此而遭受的全部损失。</w:t>
      </w:r>
    </w:p>
    <w:p w14:paraId="1474FCD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6.6 若因乙方未能履行本合同规定的义务而造成甲方未能获得乙方签发的核查声明，则乙方应返还甲方已支付的温室气体排放审定/核查费用，并对此承担责任。</w:t>
      </w:r>
    </w:p>
    <w:p w14:paraId="2C4A166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6.8 双方若违反合同约定的保密义务，应承担支付违约金或者赔偿损失的责任。</w:t>
      </w:r>
    </w:p>
    <w:p w14:paraId="17EE002C">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7 不可抗力</w:t>
      </w:r>
    </w:p>
    <w:p w14:paraId="664942F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合同的任何一方因不可抗力的原因，不能履行合同，应及时通知对方，经双方协商一致，可延期履行合同或修改合同中非违约责任的条款。如不能协商一致的，甲方向乙方已支付的服务费用不予返还。</w:t>
      </w:r>
    </w:p>
    <w:p w14:paraId="03F7DD5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8 争议处理</w:t>
      </w:r>
    </w:p>
    <w:p w14:paraId="6E87FDD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双方若因履行本合同发生争议，应当通过友好协商解决；协商不成的，由乙方住所地法院通过诉讼方式解决。</w:t>
      </w:r>
    </w:p>
    <w:p w14:paraId="75F9F4A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9 合同的更改和</w:t>
      </w:r>
      <w:r>
        <w:rPr>
          <w:rFonts w:hint="eastAsia" w:ascii="宋体" w:hAnsi="宋体" w:eastAsia="宋体" w:cs="宋体"/>
          <w:sz w:val="24"/>
          <w:lang w:val="en-US" w:eastAsia="zh-CN"/>
        </w:rPr>
        <w:drawing>
          <wp:anchor distT="0" distB="0" distL="114300" distR="114300" simplePos="0" relativeHeight="251665408" behindDoc="0" locked="0" layoutInCell="1" allowOverlap="1">
            <wp:simplePos x="0" y="0"/>
            <wp:positionH relativeFrom="column">
              <wp:posOffset>-1260475</wp:posOffset>
            </wp:positionH>
            <wp:positionV relativeFrom="paragraph">
              <wp:posOffset>-2196465</wp:posOffset>
            </wp:positionV>
            <wp:extent cx="9617075" cy="7630160"/>
            <wp:effectExtent l="0" t="0" r="0" b="0"/>
            <wp:wrapNone/>
            <wp:docPr id="10" name="图片 10" descr="be5201de5b835995d9ec6a4d802062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be5201de5b835995d9ec6a4d802062b3"/>
                    <pic:cNvPicPr>
                      <a:picLocks noChangeAspect="1"/>
                    </pic:cNvPicPr>
                  </pic:nvPicPr>
                  <pic:blipFill>
                    <a:blip r:embed="rId7">
                      <a:alphaModFix amt="40000"/>
                    </a:blip>
                    <a:stretch>
                      <a:fillRect/>
                    </a:stretch>
                  </pic:blipFill>
                  <pic:spPr>
                    <a:xfrm>
                      <a:off x="0" y="0"/>
                      <a:ext cx="9617075" cy="7630160"/>
                    </a:xfrm>
                    <a:prstGeom prst="rect">
                      <a:avLst/>
                    </a:prstGeom>
                  </pic:spPr>
                </pic:pic>
              </a:graphicData>
            </a:graphic>
          </wp:anchor>
        </w:drawing>
      </w:r>
      <w:r>
        <w:rPr>
          <w:rFonts w:hint="eastAsia" w:ascii="宋体" w:hAnsi="宋体" w:eastAsia="宋体" w:cs="宋体"/>
          <w:b/>
          <w:bCs/>
          <w:sz w:val="28"/>
          <w:szCs w:val="28"/>
          <w:lang w:val="en-US" w:eastAsia="zh-CN"/>
        </w:rPr>
        <w:t>补充</w:t>
      </w:r>
    </w:p>
    <w:p w14:paraId="29B60DD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 本合同未尽事宜，甲乙双方可协商订立补充条款作为本合同的附件。</w:t>
      </w:r>
    </w:p>
    <w:p w14:paraId="520858F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 在合同执行期间，若有变更或补充内容，经双方协商同意后以书面附件的形式记录，签署《合同变更补充协议》,且附件作为本合同不可分割的组成部分与本合同具有相同的法律效力。</w:t>
      </w:r>
    </w:p>
    <w:p w14:paraId="12320E60">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10 公正廉洁声明</w:t>
      </w:r>
    </w:p>
    <w:p w14:paraId="0FBEB09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郑重声明，为了确保服务过程的公正性，甲方不得向乙方有关的工作人员提供各种礼品、礼金、购物卡等财物；不得邀请乙方有关工作人员参加甲方的娱乐活动等；按照实报实销的原则报销乙方技术人员差旅费用。如甲方违反相关项目过程中的廉洁公正性要求的，可能导致项目无效，由此产生的一切后果由甲方予以承担。</w:t>
      </w:r>
    </w:p>
    <w:p w14:paraId="107EF16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textAlignment w:val="baseline"/>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11 申投诉方式</w:t>
      </w:r>
    </w:p>
    <w:p w14:paraId="7F7AEE7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如甲方对乙方做出的服务结论或工作人员存在不满意或需要投诉的事宜，请按照以下方式向乙方进行申投诉。</w:t>
      </w:r>
    </w:p>
    <w:p w14:paraId="30F0557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电话：0517-83768688                  Email：cscccertification@163.com</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8"/>
        <w:gridCol w:w="5048"/>
      </w:tblGrid>
      <w:tr w14:paraId="1DD6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8" w:type="dxa"/>
            <w:tcBorders>
              <w:top w:val="nil"/>
              <w:left w:val="nil"/>
              <w:bottom w:val="nil"/>
              <w:right w:val="nil"/>
            </w:tcBorders>
          </w:tcPr>
          <w:p w14:paraId="2EA1836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甲方：</w:t>
            </w:r>
          </w:p>
          <w:p w14:paraId="780DDE6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负责人签字（盖章）：</w:t>
            </w:r>
          </w:p>
          <w:p w14:paraId="46BAF72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开户银行：</w:t>
            </w:r>
          </w:p>
          <w:p w14:paraId="068393F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账    号：</w:t>
            </w:r>
          </w:p>
          <w:p w14:paraId="5F517C5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税务登记号：</w:t>
            </w:r>
          </w:p>
          <w:p w14:paraId="64AFA17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座机电话：</w:t>
            </w:r>
          </w:p>
          <w:p w14:paraId="5F37EC6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联系人手机：</w:t>
            </w:r>
          </w:p>
          <w:p w14:paraId="768696C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通讯地址：</w:t>
            </w:r>
          </w:p>
          <w:p w14:paraId="6C38370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企业邮箱：（必填）</w:t>
            </w:r>
          </w:p>
        </w:tc>
        <w:tc>
          <w:tcPr>
            <w:tcW w:w="5048" w:type="dxa"/>
            <w:tcBorders>
              <w:top w:val="nil"/>
              <w:left w:val="nil"/>
              <w:bottom w:val="nil"/>
              <w:right w:val="nil"/>
            </w:tcBorders>
          </w:tcPr>
          <w:p w14:paraId="0E735BA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乙方：中标信认证（江苏）有限公司</w:t>
            </w:r>
          </w:p>
          <w:p w14:paraId="331CEF3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负责人签字(盖章）：           </w:t>
            </w:r>
          </w:p>
          <w:p w14:paraId="377FB3A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开户银行： 南京银行股份有限公司淮安分行</w:t>
            </w:r>
          </w:p>
          <w:p w14:paraId="23E78F4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账    号： 1701210000002723</w:t>
            </w:r>
          </w:p>
          <w:p w14:paraId="05F4A89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税务登记号: 91330109MA2KJX1U4N</w:t>
            </w:r>
          </w:p>
          <w:p w14:paraId="27E84E7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通讯地址: 江苏省淮安市清江浦区汇丰中央广场1号楼511、512、513、515室</w:t>
            </w:r>
          </w:p>
          <w:p w14:paraId="2E0EEE5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联系电话：19848358187</w:t>
            </w:r>
          </w:p>
          <w:p w14:paraId="1786458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Email: cscccertification@163.com</w:t>
            </w:r>
          </w:p>
        </w:tc>
      </w:tr>
    </w:tbl>
    <w:p w14:paraId="0CAB805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p>
    <w:sectPr>
      <w:footerReference r:id="rId4" w:type="default"/>
      <w:pgSz w:w="11907" w:h="16839"/>
      <w:pgMar w:top="1276" w:right="974" w:bottom="720" w:left="1053" w:header="565" w:footer="404" w:gutter="0"/>
      <w:pgNumType w:fmt="decimal" w:start="2"/>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E1CA4">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68E038">
                          <w:pPr>
                            <w:pStyle w:val="5"/>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eastAsia="宋体"/>
                              <w:lang w:val="en-US" w:eastAsia="zh-CN"/>
                            </w:rPr>
                            <w:t>8</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68E038">
                    <w:pPr>
                      <w:pStyle w:val="5"/>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eastAsia="宋体"/>
                        <w:lang w:val="en-US" w:eastAsia="zh-CN"/>
                      </w:rPr>
                      <w:t>8</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F3B3F">
    <w:pPr>
      <w:pStyle w:val="6"/>
      <w:jc w:val="both"/>
      <w:rPr>
        <w:rFonts w:hint="eastAsia" w:ascii="黑体" w:hAnsi="Times New Roman" w:eastAsia="黑体" w:cs="Times New Roman"/>
        <w:b w:val="0"/>
        <w:bCs/>
        <w:snapToGrid/>
        <w:color w:val="000000"/>
        <w:kern w:val="2"/>
        <w:sz w:val="21"/>
        <w:szCs w:val="21"/>
        <w:lang w:val="en-US" w:eastAsia="zh-CN" w:bidi="ar-SA"/>
      </w:rPr>
    </w:pPr>
    <w:r>
      <w:rPr>
        <w:sz w:val="21"/>
        <w:szCs w:val="21"/>
        <w:lang w:val="en-US" w:eastAsia="zh-CN"/>
      </w:rPr>
      <w:drawing>
        <wp:inline distT="0" distB="0" distL="114300" distR="114300">
          <wp:extent cx="883920" cy="236855"/>
          <wp:effectExtent l="0" t="0" r="11430" b="10795"/>
          <wp:docPr id="3" name="图片 1" descr="D:/Desktop/21e12f710fb106892b581cb88bb5f5f6.jpg21e12f710fb106892b581cb88bb5f5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Desktop/21e12f710fb106892b581cb88bb5f5f6.jpg21e12f710fb106892b581cb88bb5f5f6"/>
                  <pic:cNvPicPr>
                    <a:picLocks noChangeAspect="1"/>
                  </pic:cNvPicPr>
                </pic:nvPicPr>
                <pic:blipFill>
                  <a:blip r:embed="rId1"/>
                  <a:srcRect t="23073" b="23073"/>
                  <a:stretch>
                    <a:fillRect/>
                  </a:stretch>
                </pic:blipFill>
                <pic:spPr>
                  <a:xfrm>
                    <a:off x="0" y="0"/>
                    <a:ext cx="883920" cy="236855"/>
                  </a:xfrm>
                  <a:prstGeom prst="rect">
                    <a:avLst/>
                  </a:prstGeom>
                  <a:noFill/>
                  <a:ln>
                    <a:noFill/>
                  </a:ln>
                </pic:spPr>
              </pic:pic>
            </a:graphicData>
          </a:graphic>
        </wp:inline>
      </w:drawing>
    </w:r>
    <w:r>
      <w:rPr>
        <w:rFonts w:hint="eastAsia"/>
        <w:sz w:val="21"/>
        <w:szCs w:val="21"/>
        <w:lang w:val="en-US" w:eastAsia="zh-CN"/>
      </w:rPr>
      <w:t xml:space="preserve">                                                                                                                        </w:t>
    </w:r>
    <w:r>
      <w:rPr>
        <w:rFonts w:hint="eastAsia" w:ascii="黑体" w:hAnsi="Times New Roman" w:eastAsia="黑体" w:cs="Times New Roman"/>
        <w:b w:val="0"/>
        <w:bCs/>
        <w:snapToGrid/>
        <w:color w:val="000000"/>
        <w:kern w:val="2"/>
        <w:sz w:val="21"/>
        <w:szCs w:val="21"/>
        <w:lang w:val="en-US" w:eastAsia="zh-CN" w:bidi="ar-SA"/>
      </w:rPr>
      <w:t>CSTC-GHG-JL03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formatting="1" w:enforcement="1" w:cryptProviderType="rsaFull" w:cryptAlgorithmClass="hash" w:cryptAlgorithmType="typeAny" w:cryptAlgorithmSid="4" w:cryptSpinCount="0" w:hash="BGBeicHD01OhON1A0MWYS/Knj4I=" w:salt="k4xgqsiElxNaX0moghWUsw=="/>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k2Y2NjMTA2OGY2YzgxNDNlNTNhZjEzMjRhOTZiNTEifQ=="/>
  </w:docVars>
  <w:rsids>
    <w:rsidRoot w:val="00007F7E"/>
    <w:rsid w:val="00003382"/>
    <w:rsid w:val="00007F7E"/>
    <w:rsid w:val="00067DAA"/>
    <w:rsid w:val="00084D6C"/>
    <w:rsid w:val="000F65C3"/>
    <w:rsid w:val="001344E5"/>
    <w:rsid w:val="00193FF1"/>
    <w:rsid w:val="001B3E9E"/>
    <w:rsid w:val="001D1EA7"/>
    <w:rsid w:val="002009E4"/>
    <w:rsid w:val="00236B22"/>
    <w:rsid w:val="00350DB5"/>
    <w:rsid w:val="003604A7"/>
    <w:rsid w:val="003D4E35"/>
    <w:rsid w:val="00453DA6"/>
    <w:rsid w:val="0049624B"/>
    <w:rsid w:val="004A55CC"/>
    <w:rsid w:val="004A621C"/>
    <w:rsid w:val="0054274D"/>
    <w:rsid w:val="005574AC"/>
    <w:rsid w:val="00566596"/>
    <w:rsid w:val="005B5E2D"/>
    <w:rsid w:val="00635606"/>
    <w:rsid w:val="006C7760"/>
    <w:rsid w:val="007161B3"/>
    <w:rsid w:val="00915BA3"/>
    <w:rsid w:val="00934E9F"/>
    <w:rsid w:val="00941AEF"/>
    <w:rsid w:val="0098652A"/>
    <w:rsid w:val="0099457C"/>
    <w:rsid w:val="00A44614"/>
    <w:rsid w:val="00B056BD"/>
    <w:rsid w:val="00B1171F"/>
    <w:rsid w:val="00B22D58"/>
    <w:rsid w:val="00B244EF"/>
    <w:rsid w:val="00B7157A"/>
    <w:rsid w:val="00D630CA"/>
    <w:rsid w:val="00D9355B"/>
    <w:rsid w:val="00DD211F"/>
    <w:rsid w:val="00E17549"/>
    <w:rsid w:val="00EA4F4F"/>
    <w:rsid w:val="00EF6144"/>
    <w:rsid w:val="00F91C11"/>
    <w:rsid w:val="00FF222F"/>
    <w:rsid w:val="04D00971"/>
    <w:rsid w:val="04E27045"/>
    <w:rsid w:val="05595C82"/>
    <w:rsid w:val="057F7625"/>
    <w:rsid w:val="06654127"/>
    <w:rsid w:val="09C35E1E"/>
    <w:rsid w:val="09DC3BDF"/>
    <w:rsid w:val="0A1411C2"/>
    <w:rsid w:val="0AE31100"/>
    <w:rsid w:val="0E531173"/>
    <w:rsid w:val="0F476932"/>
    <w:rsid w:val="12626E57"/>
    <w:rsid w:val="12753A2E"/>
    <w:rsid w:val="137837D5"/>
    <w:rsid w:val="152B4878"/>
    <w:rsid w:val="15C26F8A"/>
    <w:rsid w:val="18676DDA"/>
    <w:rsid w:val="1904741C"/>
    <w:rsid w:val="1965778D"/>
    <w:rsid w:val="1A400846"/>
    <w:rsid w:val="1A773EBB"/>
    <w:rsid w:val="1AEB3CAA"/>
    <w:rsid w:val="1C0F785F"/>
    <w:rsid w:val="1CE912A0"/>
    <w:rsid w:val="1CEA3F14"/>
    <w:rsid w:val="1E374999"/>
    <w:rsid w:val="1F066982"/>
    <w:rsid w:val="1F6A359B"/>
    <w:rsid w:val="1FC91603"/>
    <w:rsid w:val="20A73392"/>
    <w:rsid w:val="21005321"/>
    <w:rsid w:val="231D709A"/>
    <w:rsid w:val="24217571"/>
    <w:rsid w:val="251B0465"/>
    <w:rsid w:val="26FA013D"/>
    <w:rsid w:val="27BB397F"/>
    <w:rsid w:val="2990258A"/>
    <w:rsid w:val="29A673E5"/>
    <w:rsid w:val="2C134214"/>
    <w:rsid w:val="2D317A4E"/>
    <w:rsid w:val="2F0E5E20"/>
    <w:rsid w:val="2F2704E5"/>
    <w:rsid w:val="30795596"/>
    <w:rsid w:val="30BA6D84"/>
    <w:rsid w:val="314C5F08"/>
    <w:rsid w:val="32BD2B5B"/>
    <w:rsid w:val="3353526D"/>
    <w:rsid w:val="36B75963"/>
    <w:rsid w:val="36FA7068"/>
    <w:rsid w:val="37D10392"/>
    <w:rsid w:val="398A4097"/>
    <w:rsid w:val="3A3C6A5B"/>
    <w:rsid w:val="3B284947"/>
    <w:rsid w:val="3C5462DE"/>
    <w:rsid w:val="3C8500FF"/>
    <w:rsid w:val="3D23256C"/>
    <w:rsid w:val="3F9314B3"/>
    <w:rsid w:val="436C7B5F"/>
    <w:rsid w:val="44F41E24"/>
    <w:rsid w:val="46BB4BBD"/>
    <w:rsid w:val="46CE17A1"/>
    <w:rsid w:val="4A7A599D"/>
    <w:rsid w:val="4B9930F9"/>
    <w:rsid w:val="4C765DFD"/>
    <w:rsid w:val="4C8251E0"/>
    <w:rsid w:val="4C86690C"/>
    <w:rsid w:val="4EAF2703"/>
    <w:rsid w:val="4F347AEC"/>
    <w:rsid w:val="500B3467"/>
    <w:rsid w:val="50E83D95"/>
    <w:rsid w:val="50FA143F"/>
    <w:rsid w:val="516E329B"/>
    <w:rsid w:val="539E0889"/>
    <w:rsid w:val="53A52BF3"/>
    <w:rsid w:val="55166924"/>
    <w:rsid w:val="5B265C9C"/>
    <w:rsid w:val="5B8925C8"/>
    <w:rsid w:val="5C1E53D2"/>
    <w:rsid w:val="5D1010C4"/>
    <w:rsid w:val="5DA541AF"/>
    <w:rsid w:val="5DBC7380"/>
    <w:rsid w:val="5DED6625"/>
    <w:rsid w:val="5F923CA3"/>
    <w:rsid w:val="5FBF2DF5"/>
    <w:rsid w:val="616A2913"/>
    <w:rsid w:val="6178048D"/>
    <w:rsid w:val="681A7B2C"/>
    <w:rsid w:val="6A1A17C5"/>
    <w:rsid w:val="6A1E5BD4"/>
    <w:rsid w:val="6A515DCC"/>
    <w:rsid w:val="703819D4"/>
    <w:rsid w:val="70BA6916"/>
    <w:rsid w:val="71994D53"/>
    <w:rsid w:val="72730565"/>
    <w:rsid w:val="729570D4"/>
    <w:rsid w:val="76802D71"/>
    <w:rsid w:val="786724C2"/>
    <w:rsid w:val="78FD7415"/>
    <w:rsid w:val="7942171C"/>
    <w:rsid w:val="7DED7689"/>
    <w:rsid w:val="7E623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Plain Text"/>
    <w:basedOn w:val="1"/>
    <w:link w:val="15"/>
    <w:autoRedefine/>
    <w:qFormat/>
    <w:uiPriority w:val="0"/>
    <w:pPr>
      <w:widowControl w:val="0"/>
      <w:kinsoku/>
      <w:autoSpaceDE/>
      <w:autoSpaceDN/>
      <w:adjustRightInd/>
      <w:snapToGrid/>
      <w:jc w:val="both"/>
      <w:textAlignment w:val="auto"/>
    </w:pPr>
    <w:rPr>
      <w:rFonts w:ascii="Courier New" w:hAnsi="Courier New" w:eastAsia="宋体" w:cs="Times New Roman"/>
      <w:snapToGrid/>
      <w:color w:val="auto"/>
      <w:kern w:val="2"/>
      <w:szCs w:val="24"/>
    </w:rPr>
  </w:style>
  <w:style w:type="paragraph" w:styleId="4">
    <w:name w:val="Balloon Text"/>
    <w:basedOn w:val="1"/>
    <w:link w:val="17"/>
    <w:autoRedefine/>
    <w:qFormat/>
    <w:uiPriority w:val="0"/>
    <w:rPr>
      <w:sz w:val="18"/>
      <w:szCs w:val="18"/>
    </w:rPr>
  </w:style>
  <w:style w:type="paragraph" w:styleId="5">
    <w:name w:val="footer"/>
    <w:basedOn w:val="1"/>
    <w:link w:val="14"/>
    <w:autoRedefine/>
    <w:qFormat/>
    <w:uiPriority w:val="0"/>
    <w:pPr>
      <w:tabs>
        <w:tab w:val="center" w:pos="4153"/>
        <w:tab w:val="right" w:pos="8306"/>
      </w:tabs>
    </w:pPr>
    <w:rPr>
      <w:sz w:val="18"/>
      <w:szCs w:val="18"/>
    </w:rPr>
  </w:style>
  <w:style w:type="paragraph" w:styleId="6">
    <w:name w:val="header"/>
    <w:basedOn w:val="1"/>
    <w:link w:val="13"/>
    <w:autoRedefine/>
    <w:qFormat/>
    <w:uiPriority w:val="0"/>
    <w:pPr>
      <w:pBdr>
        <w:bottom w:val="single" w:color="auto" w:sz="6" w:space="1"/>
      </w:pBdr>
      <w:tabs>
        <w:tab w:val="center" w:pos="4153"/>
        <w:tab w:val="right" w:pos="8306"/>
      </w:tabs>
      <w:jc w:val="center"/>
    </w:pPr>
    <w:rPr>
      <w:sz w:val="18"/>
      <w:szCs w:val="18"/>
    </w:rPr>
  </w:style>
  <w:style w:type="paragraph" w:styleId="7">
    <w:name w:val="Body Text Indent 3"/>
    <w:basedOn w:val="1"/>
    <w:link w:val="16"/>
    <w:autoRedefine/>
    <w:qFormat/>
    <w:uiPriority w:val="0"/>
    <w:pPr>
      <w:widowControl w:val="0"/>
      <w:kinsoku/>
      <w:autoSpaceDE/>
      <w:autoSpaceDN/>
      <w:adjustRightInd/>
      <w:snapToGrid/>
      <w:spacing w:after="120"/>
      <w:ind w:left="420" w:leftChars="200"/>
      <w:jc w:val="both"/>
      <w:textAlignment w:val="auto"/>
    </w:pPr>
    <w:rPr>
      <w:rFonts w:ascii="Times New Roman" w:hAnsi="Times New Roman" w:eastAsia="宋体" w:cs="Times New Roman"/>
      <w:snapToGrid/>
      <w:color w:val="auto"/>
      <w:kern w:val="2"/>
      <w:sz w:val="16"/>
      <w:szCs w:val="16"/>
    </w:rPr>
  </w:style>
  <w:style w:type="table" w:styleId="9">
    <w:name w:val="Table Grid"/>
    <w:basedOn w:val="8"/>
    <w:qFormat/>
    <w:uiPriority w:val="99"/>
    <w:rPr>
      <w:rFonts w:ascii="Times New Roman" w:hAnsi="Times New Roman"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qFormat/>
    <w:uiPriority w:val="0"/>
    <w:rPr>
      <w:color w:val="0000FF"/>
      <w:u w:val="single"/>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character" w:customStyle="1" w:styleId="13">
    <w:name w:val="页眉 Char"/>
    <w:basedOn w:val="10"/>
    <w:link w:val="6"/>
    <w:autoRedefine/>
    <w:qFormat/>
    <w:uiPriority w:val="0"/>
    <w:rPr>
      <w:rFonts w:eastAsia="Arial"/>
      <w:snapToGrid w:val="0"/>
      <w:color w:val="000000"/>
      <w:sz w:val="18"/>
      <w:szCs w:val="18"/>
    </w:rPr>
  </w:style>
  <w:style w:type="character" w:customStyle="1" w:styleId="14">
    <w:name w:val="页脚 Char"/>
    <w:basedOn w:val="10"/>
    <w:link w:val="5"/>
    <w:autoRedefine/>
    <w:qFormat/>
    <w:uiPriority w:val="0"/>
    <w:rPr>
      <w:rFonts w:eastAsia="Arial"/>
      <w:snapToGrid w:val="0"/>
      <w:color w:val="000000"/>
      <w:sz w:val="18"/>
      <w:szCs w:val="18"/>
    </w:rPr>
  </w:style>
  <w:style w:type="character" w:customStyle="1" w:styleId="15">
    <w:name w:val="纯文本 Char"/>
    <w:basedOn w:val="10"/>
    <w:link w:val="3"/>
    <w:autoRedefine/>
    <w:qFormat/>
    <w:uiPriority w:val="0"/>
    <w:rPr>
      <w:rFonts w:ascii="Courier New" w:hAnsi="Courier New" w:eastAsia="宋体" w:cs="Times New Roman"/>
      <w:kern w:val="2"/>
      <w:sz w:val="21"/>
      <w:szCs w:val="24"/>
    </w:rPr>
  </w:style>
  <w:style w:type="character" w:customStyle="1" w:styleId="16">
    <w:name w:val="正文文本缩进 3 Char"/>
    <w:basedOn w:val="10"/>
    <w:link w:val="7"/>
    <w:autoRedefine/>
    <w:qFormat/>
    <w:uiPriority w:val="0"/>
    <w:rPr>
      <w:rFonts w:ascii="Times New Roman" w:hAnsi="Times New Roman" w:eastAsia="宋体" w:cs="Times New Roman"/>
      <w:kern w:val="2"/>
      <w:sz w:val="16"/>
      <w:szCs w:val="16"/>
    </w:rPr>
  </w:style>
  <w:style w:type="character" w:customStyle="1" w:styleId="17">
    <w:name w:val="批注框文本 Char"/>
    <w:basedOn w:val="10"/>
    <w:link w:val="4"/>
    <w:autoRedefine/>
    <w:qFormat/>
    <w:uiPriority w:val="0"/>
    <w:rPr>
      <w:rFonts w:eastAsia="Arial"/>
      <w:snapToGrid w:val="0"/>
      <w:color w:val="000000"/>
      <w:sz w:val="18"/>
      <w:szCs w:val="18"/>
    </w:rPr>
  </w:style>
  <w:style w:type="paragraph" w:customStyle="1" w:styleId="18">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4300</Words>
  <Characters>4654</Characters>
  <Lines>10</Lines>
  <Paragraphs>2</Paragraphs>
  <TotalTime>0</TotalTime>
  <ScaleCrop>false</ScaleCrop>
  <LinksUpToDate>false</LinksUpToDate>
  <CharactersWithSpaces>4955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2022-10-12T09:27:00Z</dcterms:created>
  <dc:creator>chom</dc:creator>
  <cp:lastModifiedBy>陈moumou</cp:lastModifiedBy>
  <cp:lastPrinted>2025-11-11T07:37:00Z</cp:lastPrinted>
  <dcterms:modified xsi:type="dcterms:W3CDTF">2026-03-27T07:07:55Z</dcterms:modified>
  <dc:title>合  同  评  审</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EF089979E78C41E4873C52576A93E7E7</vt:lpwstr>
  </property>
  <property fmtid="{D5CDD505-2E9C-101B-9397-08002B2CF9AE}" pid="4" name="KSOTemplateDocerSaveRecord">
    <vt:lpwstr>eyJoZGlkIjoiZmJmMWJmNjMzMmE5NjRhMmIxZjZiMmM0NDcwZTU5ZGEiLCJ1c2VySWQiOiIyNjMwNDAwMjEifQ==</vt:lpwstr>
  </property>
</Properties>
</file>